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lang w:val="en-AU"/>
        </w:rPr>
        <w:alias w:val="Title"/>
        <w:tag w:val=""/>
        <w:id w:val="-509987125"/>
        <w:placeholder>
          <w:docPart w:val="5074854AAABC42549F0A324CAEF2A6DA"/>
        </w:placeholder>
        <w:dataBinding w:prefixMappings="xmlns:ns0='http://purl.org/dc/elements/1.1/' xmlns:ns1='http://schemas.openxmlformats.org/package/2006/metadata/core-properties' " w:xpath="/ns1:coreProperties[1]/ns0:title[1]" w:storeItemID="{6C3C8BC8-F283-45AE-878A-BAB7291924A1}"/>
        <w:text/>
      </w:sdtPr>
      <w:sdtEndPr/>
      <w:sdtContent>
        <w:p w:rsidR="00806800" w:rsidRPr="006D3B70" w:rsidRDefault="00E674EE" w:rsidP="00806800">
          <w:pPr>
            <w:pStyle w:val="NTGCoverPageTitle"/>
            <w:rPr>
              <w:lang w:val="en-AU"/>
            </w:rPr>
          </w:pPr>
          <w:r>
            <w:rPr>
              <w:lang w:val="en-AU"/>
            </w:rPr>
            <w:t>Buy Local Plan</w:t>
          </w:r>
        </w:p>
      </w:sdtContent>
    </w:sdt>
    <w:p w:rsidR="00705033" w:rsidRPr="006D3B70" w:rsidRDefault="00BA32A1" w:rsidP="00027D9F">
      <w:pPr>
        <w:pStyle w:val="NTGCoverPageDate"/>
      </w:pPr>
      <w:fldSimple w:instr=" DOCPROPERTY  DocumentDate  \* MERGEFORMAT ">
        <w:r w:rsidR="00E674EE">
          <w:t>6 April 2018</w:t>
        </w:r>
      </w:fldSimple>
    </w:p>
    <w:p w:rsidR="005D269A" w:rsidRPr="006D3B70" w:rsidRDefault="005D269A" w:rsidP="00420C06">
      <w:pPr>
        <w:rPr>
          <w:rFonts w:eastAsiaTheme="majorEastAsia"/>
        </w:rPr>
      </w:pPr>
    </w:p>
    <w:p w:rsidR="00634329" w:rsidRPr="006D3B70" w:rsidRDefault="00634329" w:rsidP="00420C06">
      <w:pPr>
        <w:sectPr w:rsidR="00634329" w:rsidRPr="006D3B70" w:rsidSect="00687540">
          <w:headerReference w:type="default" r:id="rId8"/>
          <w:footerReference w:type="default" r:id="rId9"/>
          <w:headerReference w:type="first" r:id="rId10"/>
          <w:footerReference w:type="first" r:id="rId11"/>
          <w:pgSz w:w="11906" w:h="16838" w:code="9"/>
          <w:pgMar w:top="2268" w:right="1134" w:bottom="1701" w:left="1134" w:header="709" w:footer="0" w:gutter="0"/>
          <w:cols w:space="708"/>
          <w:titlePg/>
          <w:docGrid w:linePitch="360"/>
        </w:sectPr>
      </w:pPr>
    </w:p>
    <w:sdt>
      <w:sdtPr>
        <w:rPr>
          <w:rFonts w:eastAsia="Calibri" w:cs="Times New Roman"/>
          <w:b w:val="0"/>
          <w:bCs w:val="0"/>
          <w:sz w:val="22"/>
          <w:szCs w:val="22"/>
          <w:lang w:eastAsia="en-US"/>
        </w:rPr>
        <w:id w:val="-88318220"/>
        <w:docPartObj>
          <w:docPartGallery w:val="Table of Contents"/>
          <w:docPartUnique/>
        </w:docPartObj>
      </w:sdtPr>
      <w:sdtEndPr>
        <w:rPr>
          <w:noProof/>
        </w:rPr>
      </w:sdtEndPr>
      <w:sdtContent>
        <w:p w:rsidR="003758FE" w:rsidRPr="006D3B70" w:rsidRDefault="003758FE" w:rsidP="00F55769">
          <w:pPr>
            <w:pStyle w:val="TOCHeading"/>
          </w:pPr>
          <w:r w:rsidRPr="006D3B70">
            <w:t>Contents</w:t>
          </w:r>
        </w:p>
        <w:p w:rsidR="00401584" w:rsidRDefault="003758FE">
          <w:pPr>
            <w:pStyle w:val="TOC1"/>
            <w:rPr>
              <w:rFonts w:asciiTheme="minorHAnsi" w:hAnsiTheme="minorHAnsi" w:cstheme="minorBidi"/>
              <w:b w:val="0"/>
            </w:rPr>
          </w:pPr>
          <w:r w:rsidRPr="006D3B70">
            <w:rPr>
              <w:noProof w:val="0"/>
            </w:rPr>
            <w:fldChar w:fldCharType="begin"/>
          </w:r>
          <w:r w:rsidRPr="006D3B70">
            <w:instrText xml:space="preserve"> TOC \o "1-</w:instrText>
          </w:r>
          <w:r w:rsidR="00EA3B1A" w:rsidRPr="006D3B70">
            <w:instrText>9</w:instrText>
          </w:r>
          <w:r w:rsidRPr="006D3B70">
            <w:instrText xml:space="preserve">" \h \z \u </w:instrText>
          </w:r>
          <w:r w:rsidRPr="006D3B70">
            <w:rPr>
              <w:noProof w:val="0"/>
            </w:rPr>
            <w:fldChar w:fldCharType="separate"/>
          </w:r>
          <w:hyperlink w:anchor="_Toc514309557" w:history="1">
            <w:r w:rsidR="00401584" w:rsidRPr="00712D16">
              <w:rPr>
                <w:rStyle w:val="Hyperlink"/>
              </w:rPr>
              <w:t>1.</w:t>
            </w:r>
            <w:r w:rsidR="00401584">
              <w:rPr>
                <w:rFonts w:asciiTheme="minorHAnsi" w:hAnsiTheme="minorHAnsi" w:cstheme="minorBidi"/>
                <w:b w:val="0"/>
              </w:rPr>
              <w:tab/>
            </w:r>
            <w:r w:rsidR="00401584" w:rsidRPr="00712D16">
              <w:rPr>
                <w:rStyle w:val="Hyperlink"/>
              </w:rPr>
              <w:t>Overview</w:t>
            </w:r>
            <w:r w:rsidR="00401584">
              <w:rPr>
                <w:webHidden/>
              </w:rPr>
              <w:tab/>
            </w:r>
            <w:r w:rsidR="00401584">
              <w:rPr>
                <w:webHidden/>
              </w:rPr>
              <w:fldChar w:fldCharType="begin"/>
            </w:r>
            <w:r w:rsidR="00401584">
              <w:rPr>
                <w:webHidden/>
              </w:rPr>
              <w:instrText xml:space="preserve"> PAGEREF _Toc514309557 \h </w:instrText>
            </w:r>
            <w:r w:rsidR="00401584">
              <w:rPr>
                <w:webHidden/>
              </w:rPr>
            </w:r>
            <w:r w:rsidR="00401584">
              <w:rPr>
                <w:webHidden/>
              </w:rPr>
              <w:fldChar w:fldCharType="separate"/>
            </w:r>
            <w:r w:rsidR="00401584">
              <w:rPr>
                <w:webHidden/>
              </w:rPr>
              <w:t>4</w:t>
            </w:r>
            <w:r w:rsidR="00401584">
              <w:rPr>
                <w:webHidden/>
              </w:rPr>
              <w:fldChar w:fldCharType="end"/>
            </w:r>
          </w:hyperlink>
        </w:p>
        <w:p w:rsidR="00401584" w:rsidRDefault="008E4905">
          <w:pPr>
            <w:pStyle w:val="TOC1"/>
            <w:rPr>
              <w:rFonts w:asciiTheme="minorHAnsi" w:hAnsiTheme="minorHAnsi" w:cstheme="minorBidi"/>
              <w:b w:val="0"/>
            </w:rPr>
          </w:pPr>
          <w:hyperlink w:anchor="_Toc514309558" w:history="1">
            <w:r w:rsidR="00401584" w:rsidRPr="00712D16">
              <w:rPr>
                <w:rStyle w:val="Hyperlink"/>
              </w:rPr>
              <w:t>2.</w:t>
            </w:r>
            <w:r w:rsidR="00401584">
              <w:rPr>
                <w:rFonts w:asciiTheme="minorHAnsi" w:hAnsiTheme="minorHAnsi" w:cstheme="minorBidi"/>
                <w:b w:val="0"/>
              </w:rPr>
              <w:tab/>
            </w:r>
            <w:r w:rsidR="00401584" w:rsidRPr="00712D16">
              <w:rPr>
                <w:rStyle w:val="Hyperlink"/>
              </w:rPr>
              <w:t>Agency planning</w:t>
            </w:r>
            <w:r w:rsidR="00401584">
              <w:rPr>
                <w:webHidden/>
              </w:rPr>
              <w:tab/>
            </w:r>
            <w:r w:rsidR="00401584">
              <w:rPr>
                <w:webHidden/>
              </w:rPr>
              <w:fldChar w:fldCharType="begin"/>
            </w:r>
            <w:r w:rsidR="00401584">
              <w:rPr>
                <w:webHidden/>
              </w:rPr>
              <w:instrText xml:space="preserve"> PAGEREF _Toc514309558 \h </w:instrText>
            </w:r>
            <w:r w:rsidR="00401584">
              <w:rPr>
                <w:webHidden/>
              </w:rPr>
            </w:r>
            <w:r w:rsidR="00401584">
              <w:rPr>
                <w:webHidden/>
              </w:rPr>
              <w:fldChar w:fldCharType="separate"/>
            </w:r>
            <w:r w:rsidR="00401584">
              <w:rPr>
                <w:webHidden/>
              </w:rPr>
              <w:t>5</w:t>
            </w:r>
            <w:r w:rsidR="00401584">
              <w:rPr>
                <w:webHidden/>
              </w:rPr>
              <w:fldChar w:fldCharType="end"/>
            </w:r>
          </w:hyperlink>
        </w:p>
        <w:p w:rsidR="00401584" w:rsidRDefault="008E4905">
          <w:pPr>
            <w:pStyle w:val="TOC1"/>
            <w:rPr>
              <w:rFonts w:asciiTheme="minorHAnsi" w:hAnsiTheme="minorHAnsi" w:cstheme="minorBidi"/>
              <w:b w:val="0"/>
            </w:rPr>
          </w:pPr>
          <w:hyperlink w:anchor="_Toc514309559" w:history="1">
            <w:r w:rsidR="00401584" w:rsidRPr="00712D16">
              <w:rPr>
                <w:rStyle w:val="Hyperlink"/>
              </w:rPr>
              <w:t>3.</w:t>
            </w:r>
            <w:r w:rsidR="00401584">
              <w:rPr>
                <w:rFonts w:asciiTheme="minorHAnsi" w:hAnsiTheme="minorHAnsi" w:cstheme="minorBidi"/>
                <w:b w:val="0"/>
              </w:rPr>
              <w:tab/>
            </w:r>
            <w:r w:rsidR="00401584" w:rsidRPr="00712D16">
              <w:rPr>
                <w:rStyle w:val="Hyperlink"/>
              </w:rPr>
              <w:t>A local content test</w:t>
            </w:r>
            <w:r w:rsidR="00401584">
              <w:rPr>
                <w:webHidden/>
              </w:rPr>
              <w:tab/>
            </w:r>
            <w:r w:rsidR="00401584">
              <w:rPr>
                <w:webHidden/>
              </w:rPr>
              <w:fldChar w:fldCharType="begin"/>
            </w:r>
            <w:r w:rsidR="00401584">
              <w:rPr>
                <w:webHidden/>
              </w:rPr>
              <w:instrText xml:space="preserve"> PAGEREF _Toc514309559 \h </w:instrText>
            </w:r>
            <w:r w:rsidR="00401584">
              <w:rPr>
                <w:webHidden/>
              </w:rPr>
            </w:r>
            <w:r w:rsidR="00401584">
              <w:rPr>
                <w:webHidden/>
              </w:rPr>
              <w:fldChar w:fldCharType="separate"/>
            </w:r>
            <w:r w:rsidR="00401584">
              <w:rPr>
                <w:webHidden/>
              </w:rPr>
              <w:t>6</w:t>
            </w:r>
            <w:r w:rsidR="00401584">
              <w:rPr>
                <w:webHidden/>
              </w:rPr>
              <w:fldChar w:fldCharType="end"/>
            </w:r>
          </w:hyperlink>
        </w:p>
        <w:p w:rsidR="00401584" w:rsidRDefault="008E4905">
          <w:pPr>
            <w:pStyle w:val="TOC1"/>
            <w:rPr>
              <w:rFonts w:asciiTheme="minorHAnsi" w:hAnsiTheme="minorHAnsi" w:cstheme="minorBidi"/>
              <w:b w:val="0"/>
            </w:rPr>
          </w:pPr>
          <w:hyperlink w:anchor="_Toc514309560" w:history="1">
            <w:r w:rsidR="00401584" w:rsidRPr="00712D16">
              <w:rPr>
                <w:rStyle w:val="Hyperlink"/>
              </w:rPr>
              <w:t>4.</w:t>
            </w:r>
            <w:r w:rsidR="00401584">
              <w:rPr>
                <w:rFonts w:asciiTheme="minorHAnsi" w:hAnsiTheme="minorHAnsi" w:cstheme="minorBidi"/>
                <w:b w:val="0"/>
              </w:rPr>
              <w:tab/>
            </w:r>
            <w:r w:rsidR="00401584" w:rsidRPr="00712D16">
              <w:rPr>
                <w:rStyle w:val="Hyperlink"/>
              </w:rPr>
              <w:t>Consistency and quality of assessment</w:t>
            </w:r>
            <w:r w:rsidR="00401584">
              <w:rPr>
                <w:webHidden/>
              </w:rPr>
              <w:tab/>
            </w:r>
            <w:r w:rsidR="00401584">
              <w:rPr>
                <w:webHidden/>
              </w:rPr>
              <w:fldChar w:fldCharType="begin"/>
            </w:r>
            <w:r w:rsidR="00401584">
              <w:rPr>
                <w:webHidden/>
              </w:rPr>
              <w:instrText xml:space="preserve"> PAGEREF _Toc514309560 \h </w:instrText>
            </w:r>
            <w:r w:rsidR="00401584">
              <w:rPr>
                <w:webHidden/>
              </w:rPr>
            </w:r>
            <w:r w:rsidR="00401584">
              <w:rPr>
                <w:webHidden/>
              </w:rPr>
              <w:fldChar w:fldCharType="separate"/>
            </w:r>
            <w:r w:rsidR="00401584">
              <w:rPr>
                <w:webHidden/>
              </w:rPr>
              <w:t>7</w:t>
            </w:r>
            <w:r w:rsidR="00401584">
              <w:rPr>
                <w:webHidden/>
              </w:rPr>
              <w:fldChar w:fldCharType="end"/>
            </w:r>
          </w:hyperlink>
        </w:p>
        <w:p w:rsidR="00401584" w:rsidRDefault="008E4905">
          <w:pPr>
            <w:pStyle w:val="TOC1"/>
            <w:rPr>
              <w:rFonts w:asciiTheme="minorHAnsi" w:hAnsiTheme="minorHAnsi" w:cstheme="minorBidi"/>
              <w:b w:val="0"/>
            </w:rPr>
          </w:pPr>
          <w:hyperlink w:anchor="_Toc514309561" w:history="1">
            <w:r w:rsidR="00401584" w:rsidRPr="00712D16">
              <w:rPr>
                <w:rStyle w:val="Hyperlink"/>
              </w:rPr>
              <w:t>5.</w:t>
            </w:r>
            <w:r w:rsidR="00401584">
              <w:rPr>
                <w:rFonts w:asciiTheme="minorHAnsi" w:hAnsiTheme="minorHAnsi" w:cstheme="minorBidi"/>
                <w:b w:val="0"/>
              </w:rPr>
              <w:tab/>
            </w:r>
            <w:r w:rsidR="00401584" w:rsidRPr="00712D16">
              <w:rPr>
                <w:rStyle w:val="Hyperlink"/>
              </w:rPr>
              <w:t>Tender evaluation criteria</w:t>
            </w:r>
            <w:r w:rsidR="00401584">
              <w:rPr>
                <w:webHidden/>
              </w:rPr>
              <w:tab/>
            </w:r>
            <w:r w:rsidR="00401584">
              <w:rPr>
                <w:webHidden/>
              </w:rPr>
              <w:fldChar w:fldCharType="begin"/>
            </w:r>
            <w:r w:rsidR="00401584">
              <w:rPr>
                <w:webHidden/>
              </w:rPr>
              <w:instrText xml:space="preserve"> PAGEREF _Toc514309561 \h </w:instrText>
            </w:r>
            <w:r w:rsidR="00401584">
              <w:rPr>
                <w:webHidden/>
              </w:rPr>
            </w:r>
            <w:r w:rsidR="00401584">
              <w:rPr>
                <w:webHidden/>
              </w:rPr>
              <w:fldChar w:fldCharType="separate"/>
            </w:r>
            <w:r w:rsidR="00401584">
              <w:rPr>
                <w:webHidden/>
              </w:rPr>
              <w:t>8</w:t>
            </w:r>
            <w:r w:rsidR="00401584">
              <w:rPr>
                <w:webHidden/>
              </w:rPr>
              <w:fldChar w:fldCharType="end"/>
            </w:r>
          </w:hyperlink>
        </w:p>
        <w:p w:rsidR="00401584" w:rsidRDefault="008E4905">
          <w:pPr>
            <w:pStyle w:val="TOC1"/>
            <w:rPr>
              <w:rFonts w:asciiTheme="minorHAnsi" w:hAnsiTheme="minorHAnsi" w:cstheme="minorBidi"/>
              <w:b w:val="0"/>
            </w:rPr>
          </w:pPr>
          <w:hyperlink w:anchor="_Toc514309562" w:history="1">
            <w:r w:rsidR="00401584" w:rsidRPr="00712D16">
              <w:rPr>
                <w:rStyle w:val="Hyperlink"/>
              </w:rPr>
              <w:t>6.</w:t>
            </w:r>
            <w:r w:rsidR="00401584">
              <w:rPr>
                <w:rFonts w:asciiTheme="minorHAnsi" w:hAnsiTheme="minorHAnsi" w:cstheme="minorBidi"/>
                <w:b w:val="0"/>
              </w:rPr>
              <w:tab/>
            </w:r>
            <w:r w:rsidR="00401584" w:rsidRPr="00712D16">
              <w:rPr>
                <w:rStyle w:val="Hyperlink"/>
              </w:rPr>
              <w:t>Opportunities for Territory enterprises to quote</w:t>
            </w:r>
            <w:r w:rsidR="00401584">
              <w:rPr>
                <w:webHidden/>
              </w:rPr>
              <w:tab/>
            </w:r>
            <w:r w:rsidR="00401584">
              <w:rPr>
                <w:webHidden/>
              </w:rPr>
              <w:fldChar w:fldCharType="begin"/>
            </w:r>
            <w:r w:rsidR="00401584">
              <w:rPr>
                <w:webHidden/>
              </w:rPr>
              <w:instrText xml:space="preserve"> PAGEREF _Toc514309562 \h </w:instrText>
            </w:r>
            <w:r w:rsidR="00401584">
              <w:rPr>
                <w:webHidden/>
              </w:rPr>
            </w:r>
            <w:r w:rsidR="00401584">
              <w:rPr>
                <w:webHidden/>
              </w:rPr>
              <w:fldChar w:fldCharType="separate"/>
            </w:r>
            <w:r w:rsidR="00401584">
              <w:rPr>
                <w:webHidden/>
              </w:rPr>
              <w:t>9</w:t>
            </w:r>
            <w:r w:rsidR="00401584">
              <w:rPr>
                <w:webHidden/>
              </w:rPr>
              <w:fldChar w:fldCharType="end"/>
            </w:r>
          </w:hyperlink>
        </w:p>
        <w:p w:rsidR="00401584" w:rsidRDefault="008E4905">
          <w:pPr>
            <w:pStyle w:val="TOC1"/>
            <w:rPr>
              <w:rFonts w:asciiTheme="minorHAnsi" w:hAnsiTheme="minorHAnsi" w:cstheme="minorBidi"/>
              <w:b w:val="0"/>
            </w:rPr>
          </w:pPr>
          <w:hyperlink w:anchor="_Toc514309563" w:history="1">
            <w:r w:rsidR="00401584" w:rsidRPr="00712D16">
              <w:rPr>
                <w:rStyle w:val="Hyperlink"/>
              </w:rPr>
              <w:t>7.</w:t>
            </w:r>
            <w:r w:rsidR="00401584">
              <w:rPr>
                <w:rFonts w:asciiTheme="minorHAnsi" w:hAnsiTheme="minorHAnsi" w:cstheme="minorBidi"/>
                <w:b w:val="0"/>
              </w:rPr>
              <w:tab/>
            </w:r>
            <w:r w:rsidR="00401584" w:rsidRPr="00712D16">
              <w:rPr>
                <w:rStyle w:val="Hyperlink"/>
              </w:rPr>
              <w:t>Buy Local Industry Advocate</w:t>
            </w:r>
            <w:r w:rsidR="00401584">
              <w:rPr>
                <w:webHidden/>
              </w:rPr>
              <w:tab/>
            </w:r>
            <w:r w:rsidR="00401584">
              <w:rPr>
                <w:webHidden/>
              </w:rPr>
              <w:fldChar w:fldCharType="begin"/>
            </w:r>
            <w:r w:rsidR="00401584">
              <w:rPr>
                <w:webHidden/>
              </w:rPr>
              <w:instrText xml:space="preserve"> PAGEREF _Toc514309563 \h </w:instrText>
            </w:r>
            <w:r w:rsidR="00401584">
              <w:rPr>
                <w:webHidden/>
              </w:rPr>
            </w:r>
            <w:r w:rsidR="00401584">
              <w:rPr>
                <w:webHidden/>
              </w:rPr>
              <w:fldChar w:fldCharType="separate"/>
            </w:r>
            <w:r w:rsidR="00401584">
              <w:rPr>
                <w:webHidden/>
              </w:rPr>
              <w:t>10</w:t>
            </w:r>
            <w:r w:rsidR="00401584">
              <w:rPr>
                <w:webHidden/>
              </w:rPr>
              <w:fldChar w:fldCharType="end"/>
            </w:r>
          </w:hyperlink>
        </w:p>
        <w:p w:rsidR="00401584" w:rsidRDefault="008E4905">
          <w:pPr>
            <w:pStyle w:val="TOC1"/>
            <w:rPr>
              <w:rFonts w:asciiTheme="minorHAnsi" w:hAnsiTheme="minorHAnsi" w:cstheme="minorBidi"/>
              <w:b w:val="0"/>
            </w:rPr>
          </w:pPr>
          <w:hyperlink w:anchor="_Toc514309564" w:history="1">
            <w:r w:rsidR="00401584" w:rsidRPr="00712D16">
              <w:rPr>
                <w:rStyle w:val="Hyperlink"/>
              </w:rPr>
              <w:t>8.</w:t>
            </w:r>
            <w:r w:rsidR="00401584">
              <w:rPr>
                <w:rFonts w:asciiTheme="minorHAnsi" w:hAnsiTheme="minorHAnsi" w:cstheme="minorBidi"/>
                <w:b w:val="0"/>
              </w:rPr>
              <w:tab/>
            </w:r>
            <w:r w:rsidR="00401584" w:rsidRPr="00712D16">
              <w:rPr>
                <w:rStyle w:val="Hyperlink"/>
              </w:rPr>
              <w:t>Contractual terms and conditions</w:t>
            </w:r>
            <w:r w:rsidR="00401584">
              <w:rPr>
                <w:webHidden/>
              </w:rPr>
              <w:tab/>
            </w:r>
            <w:r w:rsidR="00401584">
              <w:rPr>
                <w:webHidden/>
              </w:rPr>
              <w:fldChar w:fldCharType="begin"/>
            </w:r>
            <w:r w:rsidR="00401584">
              <w:rPr>
                <w:webHidden/>
              </w:rPr>
              <w:instrText xml:space="preserve"> PAGEREF _Toc514309564 \h </w:instrText>
            </w:r>
            <w:r w:rsidR="00401584">
              <w:rPr>
                <w:webHidden/>
              </w:rPr>
            </w:r>
            <w:r w:rsidR="00401584">
              <w:rPr>
                <w:webHidden/>
              </w:rPr>
              <w:fldChar w:fldCharType="separate"/>
            </w:r>
            <w:r w:rsidR="00401584">
              <w:rPr>
                <w:webHidden/>
              </w:rPr>
              <w:t>11</w:t>
            </w:r>
            <w:r w:rsidR="00401584">
              <w:rPr>
                <w:webHidden/>
              </w:rPr>
              <w:fldChar w:fldCharType="end"/>
            </w:r>
          </w:hyperlink>
        </w:p>
        <w:p w:rsidR="00401584" w:rsidRDefault="008E4905">
          <w:pPr>
            <w:pStyle w:val="TOC1"/>
            <w:rPr>
              <w:rFonts w:asciiTheme="minorHAnsi" w:hAnsiTheme="minorHAnsi" w:cstheme="minorBidi"/>
              <w:b w:val="0"/>
            </w:rPr>
          </w:pPr>
          <w:hyperlink w:anchor="_Toc514309565" w:history="1">
            <w:r w:rsidR="00401584" w:rsidRPr="00712D16">
              <w:rPr>
                <w:rStyle w:val="Hyperlink"/>
              </w:rPr>
              <w:t>9.</w:t>
            </w:r>
            <w:r w:rsidR="00401584">
              <w:rPr>
                <w:rFonts w:asciiTheme="minorHAnsi" w:hAnsiTheme="minorHAnsi" w:cstheme="minorBidi"/>
                <w:b w:val="0"/>
              </w:rPr>
              <w:tab/>
            </w:r>
            <w:r w:rsidR="00401584" w:rsidRPr="00712D16">
              <w:rPr>
                <w:rStyle w:val="Hyperlink"/>
              </w:rPr>
              <w:t>Contract management framework</w:t>
            </w:r>
            <w:r w:rsidR="00401584">
              <w:rPr>
                <w:webHidden/>
              </w:rPr>
              <w:tab/>
            </w:r>
            <w:r w:rsidR="00401584">
              <w:rPr>
                <w:webHidden/>
              </w:rPr>
              <w:fldChar w:fldCharType="begin"/>
            </w:r>
            <w:r w:rsidR="00401584">
              <w:rPr>
                <w:webHidden/>
              </w:rPr>
              <w:instrText xml:space="preserve"> PAGEREF _Toc514309565 \h </w:instrText>
            </w:r>
            <w:r w:rsidR="00401584">
              <w:rPr>
                <w:webHidden/>
              </w:rPr>
            </w:r>
            <w:r w:rsidR="00401584">
              <w:rPr>
                <w:webHidden/>
              </w:rPr>
              <w:fldChar w:fldCharType="separate"/>
            </w:r>
            <w:r w:rsidR="00401584">
              <w:rPr>
                <w:webHidden/>
              </w:rPr>
              <w:t>12</w:t>
            </w:r>
            <w:r w:rsidR="00401584">
              <w:rPr>
                <w:webHidden/>
              </w:rPr>
              <w:fldChar w:fldCharType="end"/>
            </w:r>
          </w:hyperlink>
        </w:p>
        <w:p w:rsidR="00401584" w:rsidRDefault="008E4905">
          <w:pPr>
            <w:pStyle w:val="TOC1"/>
            <w:rPr>
              <w:rFonts w:asciiTheme="minorHAnsi" w:hAnsiTheme="minorHAnsi" w:cstheme="minorBidi"/>
              <w:b w:val="0"/>
            </w:rPr>
          </w:pPr>
          <w:hyperlink w:anchor="_Toc514309566" w:history="1">
            <w:r w:rsidR="00401584" w:rsidRPr="00712D16">
              <w:rPr>
                <w:rStyle w:val="Hyperlink"/>
              </w:rPr>
              <w:t>10.</w:t>
            </w:r>
            <w:r w:rsidR="00401584">
              <w:rPr>
                <w:rFonts w:asciiTheme="minorHAnsi" w:hAnsiTheme="minorHAnsi" w:cstheme="minorBidi"/>
                <w:b w:val="0"/>
              </w:rPr>
              <w:tab/>
            </w:r>
            <w:r w:rsidR="00401584" w:rsidRPr="00712D16">
              <w:rPr>
                <w:rStyle w:val="Hyperlink"/>
              </w:rPr>
              <w:t>Capability development</w:t>
            </w:r>
            <w:r w:rsidR="00401584">
              <w:rPr>
                <w:webHidden/>
              </w:rPr>
              <w:tab/>
            </w:r>
            <w:r w:rsidR="00401584">
              <w:rPr>
                <w:webHidden/>
              </w:rPr>
              <w:fldChar w:fldCharType="begin"/>
            </w:r>
            <w:r w:rsidR="00401584">
              <w:rPr>
                <w:webHidden/>
              </w:rPr>
              <w:instrText xml:space="preserve"> PAGEREF _Toc514309566 \h </w:instrText>
            </w:r>
            <w:r w:rsidR="00401584">
              <w:rPr>
                <w:webHidden/>
              </w:rPr>
            </w:r>
            <w:r w:rsidR="00401584">
              <w:rPr>
                <w:webHidden/>
              </w:rPr>
              <w:fldChar w:fldCharType="separate"/>
            </w:r>
            <w:r w:rsidR="00401584">
              <w:rPr>
                <w:webHidden/>
              </w:rPr>
              <w:t>13</w:t>
            </w:r>
            <w:r w:rsidR="00401584">
              <w:rPr>
                <w:webHidden/>
              </w:rPr>
              <w:fldChar w:fldCharType="end"/>
            </w:r>
          </w:hyperlink>
        </w:p>
        <w:p w:rsidR="003758FE" w:rsidRPr="006D3B70" w:rsidRDefault="003758FE">
          <w:r w:rsidRPr="006D3B70">
            <w:rPr>
              <w:b/>
              <w:bCs/>
              <w:noProof/>
            </w:rPr>
            <w:fldChar w:fldCharType="end"/>
          </w:r>
        </w:p>
      </w:sdtContent>
    </w:sdt>
    <w:p w:rsidR="00420C06" w:rsidRPr="006D3B70" w:rsidRDefault="00420C06" w:rsidP="00420C06"/>
    <w:p w:rsidR="00420C06" w:rsidRPr="006D3B70" w:rsidRDefault="00420C06" w:rsidP="00420C06">
      <w:pPr>
        <w:sectPr w:rsidR="00420C06" w:rsidRPr="006D3B70" w:rsidSect="007D55DF">
          <w:headerReference w:type="default" r:id="rId12"/>
          <w:headerReference w:type="first" r:id="rId13"/>
          <w:pgSz w:w="11906" w:h="16838" w:code="9"/>
          <w:pgMar w:top="1134" w:right="1134" w:bottom="1134" w:left="1134" w:header="709" w:footer="0" w:gutter="0"/>
          <w:cols w:space="708"/>
          <w:docGrid w:linePitch="360"/>
        </w:sectPr>
      </w:pPr>
    </w:p>
    <w:p w:rsidR="00E674EE" w:rsidRDefault="00E674EE" w:rsidP="00E674EE">
      <w:r>
        <w:lastRenderedPageBreak/>
        <w:t>As one of the largest buyers of goods, services and works in the Territory, government has a responsibility to have in place a value for Territory procurement framework that balances its own needs to procure goods and services efficiently and effectively with the needs of industry and the broader community. The Buy Local Plan supports local Territory businesses and is a critical element of the Northern Territory (NT) Government’s value for Territory procurement framework. The plan has been developed in consultation with business and industry.</w:t>
      </w:r>
    </w:p>
    <w:p w:rsidR="00E674EE" w:rsidRDefault="00E674EE" w:rsidP="00E674EE">
      <w:r>
        <w:t xml:space="preserve">The primary objective of the Buy Local Plan is to ensure that the largest possible proportion of every dollar spent by the NT Government is retained within and delivers benefits for the Territory economy and community. With an effective value for Territory procurement framework in place, </w:t>
      </w:r>
      <w:r w:rsidR="0061383C">
        <w:t>l</w:t>
      </w:r>
      <w:r>
        <w:t xml:space="preserve">ocal </w:t>
      </w:r>
      <w:r w:rsidR="0061383C">
        <w:t>c</w:t>
      </w:r>
      <w:r>
        <w:t xml:space="preserve">ontent inputs such as employment, industry development, up-skilling, regional and </w:t>
      </w:r>
      <w:r w:rsidR="007B16C3">
        <w:t>Aboriginal</w:t>
      </w:r>
      <w:r>
        <w:t xml:space="preserve"> development can be converted into tangible, long-lasting local benefits for the Territory.</w:t>
      </w:r>
    </w:p>
    <w:p w:rsidR="00E674EE" w:rsidRDefault="00E674EE" w:rsidP="00E674EE">
      <w:r>
        <w:t xml:space="preserve">There are a broad range of benefits to be realised through the Buy Local Plan. These include the direct, immediate benefits of </w:t>
      </w:r>
      <w:r w:rsidR="0061383C">
        <w:t>l</w:t>
      </w:r>
      <w:r>
        <w:t xml:space="preserve">ocal </w:t>
      </w:r>
      <w:r w:rsidR="0061383C">
        <w:t>c</w:t>
      </w:r>
      <w:r>
        <w:t>ontent to the goods, services or works delivered under a given contract. This also extends to indirect benefits which may not necessarily be realised during the term of the contract, such as economic stimulation, local industry development and infrastructure development.</w:t>
      </w:r>
    </w:p>
    <w:p w:rsidR="00E674EE" w:rsidRDefault="00E674EE" w:rsidP="00E674EE">
      <w:r>
        <w:t>The Buy Local Plan’s key initiatives target every stage of the procurement and contract management lifecycle to deliver these benefits.</w:t>
      </w:r>
    </w:p>
    <w:p w:rsidR="00E674EE" w:rsidRDefault="00E674EE" w:rsidP="00E674EE">
      <w:r>
        <w:t>Some related objectives of the Buy Local Plan include:</w:t>
      </w:r>
    </w:p>
    <w:p w:rsidR="00E674EE" w:rsidRDefault="00E674EE" w:rsidP="00E674EE">
      <w:pPr>
        <w:pStyle w:val="ListParagraph"/>
        <w:numPr>
          <w:ilvl w:val="0"/>
          <w:numId w:val="15"/>
        </w:numPr>
      </w:pPr>
      <w:r>
        <w:t>Give competitive Territory businesses the opportunity to participate in the future growth of the Territory</w:t>
      </w:r>
    </w:p>
    <w:p w:rsidR="00E674EE" w:rsidRDefault="00E674EE" w:rsidP="00E674EE">
      <w:pPr>
        <w:pStyle w:val="ListParagraph"/>
        <w:numPr>
          <w:ilvl w:val="0"/>
          <w:numId w:val="15"/>
        </w:numPr>
      </w:pPr>
      <w:r>
        <w:t>Improve the way that local content and benefits are recognised, evaluated and realised across the procurement and contract management lifecycle.</w:t>
      </w:r>
    </w:p>
    <w:p w:rsidR="00E674EE" w:rsidRDefault="00E674EE" w:rsidP="00E674EE">
      <w:pPr>
        <w:pStyle w:val="ListParagraph"/>
        <w:numPr>
          <w:ilvl w:val="0"/>
          <w:numId w:val="15"/>
        </w:numPr>
      </w:pPr>
      <w:r>
        <w:t>Encourage economic growth in the Territory by supporting local business to innovate, invest, work and grow.</w:t>
      </w:r>
    </w:p>
    <w:p w:rsidR="00E674EE" w:rsidRDefault="00E674EE" w:rsidP="00E674EE">
      <w:pPr>
        <w:pStyle w:val="ListParagraph"/>
        <w:numPr>
          <w:ilvl w:val="0"/>
          <w:numId w:val="15"/>
        </w:numPr>
      </w:pPr>
      <w:r>
        <w:t>Align with existing procurement and broader government reform initiatives such as increasing transparency and cutting red tape.</w:t>
      </w:r>
    </w:p>
    <w:p w:rsidR="00E674EE" w:rsidRDefault="00E674EE" w:rsidP="00E674EE">
      <w:pPr>
        <w:pStyle w:val="ListParagraph"/>
        <w:numPr>
          <w:ilvl w:val="0"/>
          <w:numId w:val="15"/>
        </w:numPr>
      </w:pPr>
      <w:r>
        <w:t>Comply with the Territory’s legal obligations under the Australian Constitution, free trade agreements, competition laws and other relevant national and international instruments.</w:t>
      </w:r>
    </w:p>
    <w:p w:rsidR="00E674EE" w:rsidRDefault="00E674EE" w:rsidP="00E674EE">
      <w:r>
        <w:t>These objectives are also consistent with the NT Gover</w:t>
      </w:r>
      <w:r w:rsidR="000768FB">
        <w:t>n</w:t>
      </w:r>
      <w:r>
        <w:t>ment’s Building Northern Territory Industry Participation Policy (BNTIP).</w:t>
      </w:r>
    </w:p>
    <w:p w:rsidR="00E674EE" w:rsidRDefault="00E674EE" w:rsidP="00E674EE">
      <w:r>
        <w:t>The Buy Local Plan applies to all NT Government agencies conducting procurement activities.</w:t>
      </w:r>
    </w:p>
    <w:p w:rsidR="00E674EE" w:rsidRDefault="00E674EE">
      <w:r>
        <w:br w:type="page"/>
      </w:r>
    </w:p>
    <w:p w:rsidR="002908B1" w:rsidRDefault="00E674EE" w:rsidP="00F55769">
      <w:pPr>
        <w:pStyle w:val="Heading1"/>
      </w:pPr>
      <w:bookmarkStart w:id="1" w:name="_Toc514309557"/>
      <w:r>
        <w:lastRenderedPageBreak/>
        <w:t>Overview</w:t>
      </w:r>
      <w:bookmarkEnd w:id="1"/>
    </w:p>
    <w:p w:rsidR="00E674EE" w:rsidRDefault="00E674EE" w:rsidP="00E674EE">
      <w:r>
        <w:t>The Buy Local Plan takes a broad view in addressing local benefits end-to-end across the procurement and contract management lifecycle - beginning with business and procurement planning, then progressing into tendering, contract formation, and lastly contract management. Underpinning the plan’s measures at each of these stages is a focus on procurement capability development, both internal and external to government, to ensure that new practices are embedded, and new policies effectively applied. Ensuring that local content and benefits are considered and evaluated, with commitments then captured and monitored along the entirety of the lifecycle, is integral to the plan’s success.</w:t>
      </w:r>
    </w:p>
    <w:p w:rsidR="00E674EE" w:rsidRDefault="00E674EE" w:rsidP="00E674EE">
      <w:r>
        <w:t>The measures of the Buy Local Plan aim to</w:t>
      </w:r>
      <w:r w:rsidR="00401584">
        <w:t xml:space="preserve"> </w:t>
      </w:r>
      <w:r>
        <w:t>increase local participation in procurement at the lower tier levels, with the focus shifting to</w:t>
      </w:r>
      <w:r>
        <w:tab/>
        <w:t>increasing local obligations as the value of government spend increases.</w:t>
      </w:r>
    </w:p>
    <w:p w:rsidR="00E674EE" w:rsidRDefault="00E674EE" w:rsidP="00E674EE">
      <w:r>
        <w:t>Nine key actions underpin the plan. They are:</w:t>
      </w:r>
    </w:p>
    <w:p w:rsidR="00E674EE" w:rsidRDefault="00E674EE" w:rsidP="00E674EE">
      <w:pPr>
        <w:pStyle w:val="ListParagraph"/>
        <w:numPr>
          <w:ilvl w:val="0"/>
          <w:numId w:val="16"/>
        </w:numPr>
      </w:pPr>
      <w:r>
        <w:t>Amend NT Government policies, procedures and practices to strengthen the consideration of local benefit factors that occurs at agency planning stage.</w:t>
      </w:r>
    </w:p>
    <w:p w:rsidR="00E674EE" w:rsidRDefault="00E674EE" w:rsidP="00E674EE">
      <w:pPr>
        <w:pStyle w:val="ListParagraph"/>
        <w:numPr>
          <w:ilvl w:val="0"/>
          <w:numId w:val="16"/>
        </w:numPr>
      </w:pPr>
      <w:r>
        <w:t xml:space="preserve">A </w:t>
      </w:r>
      <w:r w:rsidR="0061383C">
        <w:t>l</w:t>
      </w:r>
      <w:r>
        <w:t xml:space="preserve">ocal </w:t>
      </w:r>
      <w:r w:rsidR="0061383C">
        <w:t>c</w:t>
      </w:r>
      <w:r>
        <w:t>ontent test in all government quotes and tenders, worth a minimum of 30% in tender evaluations.</w:t>
      </w:r>
    </w:p>
    <w:p w:rsidR="00E674EE" w:rsidRDefault="00E674EE" w:rsidP="00E674EE">
      <w:pPr>
        <w:pStyle w:val="ListParagraph"/>
        <w:numPr>
          <w:ilvl w:val="0"/>
          <w:numId w:val="16"/>
        </w:numPr>
      </w:pPr>
      <w:r>
        <w:t xml:space="preserve">Improve consistency and quality in the assessment of </w:t>
      </w:r>
      <w:r w:rsidR="0061383C">
        <w:t>l</w:t>
      </w:r>
      <w:r>
        <w:t xml:space="preserve">ocal </w:t>
      </w:r>
      <w:r w:rsidR="0061383C">
        <w:t>c</w:t>
      </w:r>
      <w:r>
        <w:t>ontent during tender evaluations.</w:t>
      </w:r>
    </w:p>
    <w:p w:rsidR="00E674EE" w:rsidRDefault="00E674EE" w:rsidP="00E674EE">
      <w:pPr>
        <w:pStyle w:val="ListParagraph"/>
        <w:numPr>
          <w:ilvl w:val="0"/>
          <w:numId w:val="16"/>
        </w:numPr>
      </w:pPr>
      <w:r>
        <w:t xml:space="preserve">Enhance the consideration of local benefits across all tender evaluation criteria, not just the </w:t>
      </w:r>
      <w:r w:rsidR="0061383C">
        <w:t>standalone l</w:t>
      </w:r>
      <w:r>
        <w:t xml:space="preserve">ocal </w:t>
      </w:r>
      <w:r w:rsidR="0061383C">
        <w:t>c</w:t>
      </w:r>
      <w:r>
        <w:t>ontent test.</w:t>
      </w:r>
    </w:p>
    <w:p w:rsidR="00E674EE" w:rsidRDefault="00E674EE" w:rsidP="00E674EE">
      <w:pPr>
        <w:pStyle w:val="ListParagraph"/>
        <w:numPr>
          <w:ilvl w:val="0"/>
          <w:numId w:val="16"/>
        </w:numPr>
      </w:pPr>
      <w:r>
        <w:t>Inviting at least one quote from a Territor</w:t>
      </w:r>
      <w:r w:rsidR="0061383C">
        <w:t>y e</w:t>
      </w:r>
      <w:r>
        <w:t>nterprise for tier 1 and 2 procurements.</w:t>
      </w:r>
    </w:p>
    <w:p w:rsidR="00E674EE" w:rsidRDefault="00E674EE" w:rsidP="00E674EE">
      <w:pPr>
        <w:pStyle w:val="ListParagraph"/>
        <w:numPr>
          <w:ilvl w:val="0"/>
          <w:numId w:val="16"/>
        </w:numPr>
      </w:pPr>
      <w:r>
        <w:t>A Buy Local Industry Advocate to provide an independent advocacy function to government on behalf of local industry.</w:t>
      </w:r>
    </w:p>
    <w:p w:rsidR="00E674EE" w:rsidRDefault="00E674EE" w:rsidP="00E674EE">
      <w:pPr>
        <w:pStyle w:val="ListParagraph"/>
        <w:numPr>
          <w:ilvl w:val="0"/>
          <w:numId w:val="16"/>
        </w:numPr>
      </w:pPr>
      <w:r>
        <w:t>Standard NT Government contractual terms and conditions to incorporate the successful tenderer’s local benefit commitments.</w:t>
      </w:r>
    </w:p>
    <w:p w:rsidR="00E674EE" w:rsidRDefault="00E674EE" w:rsidP="00E674EE">
      <w:pPr>
        <w:pStyle w:val="ListParagraph"/>
        <w:numPr>
          <w:ilvl w:val="0"/>
          <w:numId w:val="16"/>
        </w:numPr>
      </w:pPr>
      <w:r>
        <w:t>A robust contract management framework to improve NT Government and supplier relationships and contractual compliance.</w:t>
      </w:r>
    </w:p>
    <w:p w:rsidR="00E674EE" w:rsidRDefault="00E674EE" w:rsidP="00E674EE">
      <w:pPr>
        <w:pStyle w:val="ListParagraph"/>
        <w:numPr>
          <w:ilvl w:val="0"/>
          <w:numId w:val="16"/>
        </w:numPr>
      </w:pPr>
      <w:r>
        <w:t>Focus on NT Government capability development across the end-to-end procurement process, including to industry where relevant.</w:t>
      </w:r>
    </w:p>
    <w:p w:rsidR="00E674EE" w:rsidRDefault="00E674EE">
      <w:r>
        <w:br w:type="page"/>
      </w:r>
    </w:p>
    <w:p w:rsidR="00E674EE" w:rsidRDefault="00E674EE" w:rsidP="00F55769">
      <w:pPr>
        <w:pStyle w:val="Heading1"/>
      </w:pPr>
      <w:bookmarkStart w:id="2" w:name="_Toc514309558"/>
      <w:r>
        <w:lastRenderedPageBreak/>
        <w:t>Agency planning</w:t>
      </w:r>
      <w:bookmarkEnd w:id="2"/>
    </w:p>
    <w:p w:rsidR="00E674EE" w:rsidRPr="00E674EE" w:rsidRDefault="00E674EE" w:rsidP="000768FB">
      <w:pPr>
        <w:pStyle w:val="Highlight"/>
      </w:pPr>
      <w:r w:rsidRPr="00E674EE">
        <w:t>Amending NT Government policies, procedures and practices to strengthen the consideration of local benefit factors that occurs at agency planning stage</w:t>
      </w:r>
    </w:p>
    <w:p w:rsidR="00E674EE" w:rsidRDefault="00E674EE" w:rsidP="00E674EE">
      <w:r>
        <w:t>Under the end-to-end approach taken by the Buy Local Plan, the agency planning stage is crucial.</w:t>
      </w:r>
      <w:r w:rsidR="000768FB">
        <w:t xml:space="preserve"> </w:t>
      </w:r>
      <w:r>
        <w:t>It is during planning that potential local benefits are best identi</w:t>
      </w:r>
      <w:r w:rsidR="000768FB">
        <w:t>fied, as NT Government can then structure i</w:t>
      </w:r>
      <w:r>
        <w:t>ts procurement approach accordingly to most effectively utilise lo</w:t>
      </w:r>
      <w:r w:rsidR="000768FB">
        <w:t xml:space="preserve">cal industry, and realise those </w:t>
      </w:r>
      <w:r>
        <w:t>benefits. These include taking such measures as packaging procurement activities to be more</w:t>
      </w:r>
      <w:r w:rsidR="000768FB">
        <w:t xml:space="preserve"> </w:t>
      </w:r>
      <w:r>
        <w:t>accessible for small business, and encouraging partnering and subcontracting arrangements to</w:t>
      </w:r>
      <w:r w:rsidR="000768FB">
        <w:t xml:space="preserve"> </w:t>
      </w:r>
      <w:r>
        <w:t xml:space="preserve">utilise a local supply chain. It is also essential during the planning stage to broaden the lines of communication with industry and industry groups such as Industry Capability Network </w:t>
      </w:r>
      <w:r w:rsidR="000768FB">
        <w:t xml:space="preserve">NT </w:t>
      </w:r>
      <w:r>
        <w:t>(ICN</w:t>
      </w:r>
      <w:r w:rsidR="000768FB">
        <w:t>NT)</w:t>
      </w:r>
      <w:r>
        <w:t>.</w:t>
      </w:r>
      <w:r w:rsidR="000768FB">
        <w:t xml:space="preserve"> </w:t>
      </w:r>
      <w:r>
        <w:t>The best source of market knowledge is often direct engagement with industry itself - it is not just</w:t>
      </w:r>
      <w:r w:rsidR="000768FB">
        <w:t xml:space="preserve"> </w:t>
      </w:r>
      <w:r>
        <w:t>about knowing which suppliers to approach.</w:t>
      </w:r>
    </w:p>
    <w:p w:rsidR="00E674EE" w:rsidRDefault="00E674EE" w:rsidP="00E674EE">
      <w:r>
        <w:t xml:space="preserve">Under the Buy Local Plan, the Procurement </w:t>
      </w:r>
      <w:r w:rsidR="000768FB">
        <w:t>Rules</w:t>
      </w:r>
      <w:r>
        <w:t xml:space="preserve"> and their supporting documents</w:t>
      </w:r>
      <w:r w:rsidR="000768FB">
        <w:t xml:space="preserve"> </w:t>
      </w:r>
      <w:r>
        <w:t>(templates, guidelines and fact sheets) have undergone some changes. Key changes include:</w:t>
      </w:r>
    </w:p>
    <w:p w:rsidR="00E674EE" w:rsidRDefault="00E674EE" w:rsidP="000768FB">
      <w:pPr>
        <w:pStyle w:val="ListParagraph"/>
        <w:numPr>
          <w:ilvl w:val="0"/>
          <w:numId w:val="17"/>
        </w:numPr>
      </w:pPr>
      <w:r>
        <w:t>strengthening existing requirements for agencies to consult with ICNNT for awareness</w:t>
      </w:r>
      <w:r w:rsidR="000768FB">
        <w:t xml:space="preserve"> </w:t>
      </w:r>
      <w:r>
        <w:t>of market capabilities</w:t>
      </w:r>
    </w:p>
    <w:p w:rsidR="00E674EE" w:rsidRDefault="00E674EE" w:rsidP="000768FB">
      <w:pPr>
        <w:pStyle w:val="ListParagraph"/>
        <w:numPr>
          <w:ilvl w:val="0"/>
          <w:numId w:val="17"/>
        </w:numPr>
      </w:pPr>
      <w:r>
        <w:t>embedding practices to develop a more comprehensive market awareness amongst</w:t>
      </w:r>
      <w:r w:rsidR="000768FB">
        <w:t xml:space="preserve"> </w:t>
      </w:r>
      <w:r>
        <w:t>NT</w:t>
      </w:r>
      <w:r w:rsidR="000768FB">
        <w:t xml:space="preserve"> </w:t>
      </w:r>
      <w:r>
        <w:t>G</w:t>
      </w:r>
      <w:r w:rsidR="000768FB">
        <w:t>overnment</w:t>
      </w:r>
      <w:r>
        <w:t xml:space="preserve"> procurement staff</w:t>
      </w:r>
    </w:p>
    <w:p w:rsidR="00E674EE" w:rsidRDefault="00E674EE" w:rsidP="000768FB">
      <w:pPr>
        <w:pStyle w:val="ListParagraph"/>
        <w:numPr>
          <w:ilvl w:val="0"/>
          <w:numId w:val="17"/>
        </w:numPr>
      </w:pPr>
      <w:r>
        <w:t>ensuring that the results of these market research and consultation activities are robustly</w:t>
      </w:r>
      <w:r w:rsidR="000768FB">
        <w:t xml:space="preserve"> </w:t>
      </w:r>
      <w:r>
        <w:t>justified and recorded</w:t>
      </w:r>
    </w:p>
    <w:p w:rsidR="00E674EE" w:rsidRDefault="00E674EE" w:rsidP="000768FB">
      <w:pPr>
        <w:pStyle w:val="ListParagraph"/>
        <w:numPr>
          <w:ilvl w:val="0"/>
          <w:numId w:val="17"/>
        </w:numPr>
      </w:pPr>
      <w:r>
        <w:t>ensuring early identification of local benefit opportunities, and that these are translated</w:t>
      </w:r>
      <w:r w:rsidR="000768FB">
        <w:t xml:space="preserve"> </w:t>
      </w:r>
      <w:r>
        <w:t>into appropriate, relevant tender evaluation questions</w:t>
      </w:r>
    </w:p>
    <w:p w:rsidR="00E674EE" w:rsidRDefault="00E674EE" w:rsidP="000768FB">
      <w:pPr>
        <w:pStyle w:val="ListParagraph"/>
        <w:numPr>
          <w:ilvl w:val="0"/>
          <w:numId w:val="17"/>
        </w:numPr>
      </w:pPr>
      <w:r>
        <w:t>publishing an annual list of agencies’ forecast procurement activities.</w:t>
      </w:r>
    </w:p>
    <w:p w:rsidR="00E674EE" w:rsidRDefault="00E674EE" w:rsidP="00E674EE">
      <w:r>
        <w:t>Access to an annual forecast of government procurement activity will provide greater certainty</w:t>
      </w:r>
      <w:r w:rsidR="000768FB">
        <w:t xml:space="preserve"> </w:t>
      </w:r>
      <w:r>
        <w:t>for industry, allowing businesses to invest with more confidence in s</w:t>
      </w:r>
      <w:r w:rsidR="000768FB">
        <w:t xml:space="preserve">kills and infrastructure. It is </w:t>
      </w:r>
      <w:r>
        <w:t>important, however, that industry recognise this forecasting information for what it is and that</w:t>
      </w:r>
      <w:r w:rsidR="000768FB">
        <w:t xml:space="preserve"> </w:t>
      </w:r>
      <w:r>
        <w:t>forecasts are subject to change.</w:t>
      </w:r>
    </w:p>
    <w:p w:rsidR="00E674EE" w:rsidRDefault="00E674EE" w:rsidP="00E674EE">
      <w:r>
        <w:t xml:space="preserve">The </w:t>
      </w:r>
      <w:r w:rsidR="007B16C3">
        <w:t>NT</w:t>
      </w:r>
      <w:r>
        <w:t xml:space="preserve"> Government also recognises that strong</w:t>
      </w:r>
      <w:r w:rsidR="000768FB">
        <w:t xml:space="preserve"> </w:t>
      </w:r>
      <w:r>
        <w:t>industry engagement can foster a more collaborative</w:t>
      </w:r>
      <w:r w:rsidR="000768FB">
        <w:t xml:space="preserve"> </w:t>
      </w:r>
      <w:r>
        <w:t>approach to procurement planning, leading to a better</w:t>
      </w:r>
      <w:r w:rsidR="00401584">
        <w:t xml:space="preserve"> </w:t>
      </w:r>
      <w:r>
        <w:t>outcome for both NT</w:t>
      </w:r>
      <w:r w:rsidR="000768FB">
        <w:t xml:space="preserve"> </w:t>
      </w:r>
      <w:r>
        <w:t>G</w:t>
      </w:r>
      <w:r w:rsidR="000768FB">
        <w:t>overnment</w:t>
      </w:r>
      <w:r>
        <w:t xml:space="preserve"> and businesses. Equipping</w:t>
      </w:r>
      <w:r w:rsidR="000768FB">
        <w:t xml:space="preserve"> </w:t>
      </w:r>
      <w:r>
        <w:t>NT</w:t>
      </w:r>
      <w:r w:rsidR="000768FB">
        <w:t xml:space="preserve"> </w:t>
      </w:r>
      <w:r>
        <w:t>G</w:t>
      </w:r>
      <w:r w:rsidR="000768FB">
        <w:t>overnment</w:t>
      </w:r>
      <w:r>
        <w:t xml:space="preserve"> staff with the skills to undertake th</w:t>
      </w:r>
      <w:r w:rsidR="000768FB">
        <w:t xml:space="preserve">is dialogue </w:t>
      </w:r>
      <w:r>
        <w:t>with industry forms a key focus of the capability</w:t>
      </w:r>
      <w:r w:rsidR="000768FB">
        <w:t xml:space="preserve"> </w:t>
      </w:r>
      <w:r>
        <w:t>development also occurring under the Buy Local Plan.</w:t>
      </w:r>
    </w:p>
    <w:p w:rsidR="000768FB" w:rsidRDefault="000768FB" w:rsidP="000768FB">
      <w:pPr>
        <w:jc w:val="right"/>
      </w:pPr>
      <w:r>
        <w:rPr>
          <w:noProof/>
          <w:lang w:eastAsia="en-AU"/>
        </w:rPr>
        <w:drawing>
          <wp:inline distT="0" distB="0" distL="0" distR="0">
            <wp:extent cx="2381250" cy="2390775"/>
            <wp:effectExtent l="0" t="0" r="0" b="9525"/>
            <wp:docPr id="2" name="Picture 2" descr="Four sectors in a donut chart: agency planning (highlighted), tendering, contract formation, contract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ur sectors in a donut chart: agency planning (highlighted), tendering, contract formation, contract managemen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81250" cy="2390775"/>
                    </a:xfrm>
                    <a:prstGeom prst="rect">
                      <a:avLst/>
                    </a:prstGeom>
                    <a:noFill/>
                    <a:ln>
                      <a:noFill/>
                    </a:ln>
                  </pic:spPr>
                </pic:pic>
              </a:graphicData>
            </a:graphic>
          </wp:inline>
        </w:drawing>
      </w:r>
    </w:p>
    <w:p w:rsidR="000768FB" w:rsidRDefault="000768FB" w:rsidP="000768FB">
      <w:r>
        <w:br w:type="page"/>
      </w:r>
    </w:p>
    <w:p w:rsidR="000768FB" w:rsidRPr="000768FB" w:rsidRDefault="0061383C" w:rsidP="00F55769">
      <w:pPr>
        <w:pStyle w:val="Heading1"/>
      </w:pPr>
      <w:bookmarkStart w:id="3" w:name="_Toc514309559"/>
      <w:r>
        <w:lastRenderedPageBreak/>
        <w:t>A l</w:t>
      </w:r>
      <w:r w:rsidR="000768FB" w:rsidRPr="000768FB">
        <w:t xml:space="preserve">ocal </w:t>
      </w:r>
      <w:r>
        <w:t>c</w:t>
      </w:r>
      <w:r w:rsidR="000768FB" w:rsidRPr="000768FB">
        <w:t>ontent test</w:t>
      </w:r>
      <w:bookmarkEnd w:id="3"/>
    </w:p>
    <w:p w:rsidR="000768FB" w:rsidRDefault="000768FB" w:rsidP="000768FB">
      <w:pPr>
        <w:pStyle w:val="Highlight"/>
      </w:pPr>
      <w:r w:rsidRPr="000768FB">
        <w:t>Introducing a local content test into all government quotes and tenders, worth a minimum of 30% in tender evaluations</w:t>
      </w:r>
    </w:p>
    <w:p w:rsidR="000768FB" w:rsidRDefault="000768FB" w:rsidP="000768FB">
      <w:r>
        <w:t xml:space="preserve">Under the Buy Local Plan, the standalone LDVA tender assessment criteria is replaced by the </w:t>
      </w:r>
      <w:r w:rsidR="0061383C">
        <w:t>l</w:t>
      </w:r>
      <w:r>
        <w:t xml:space="preserve">ocal </w:t>
      </w:r>
      <w:r w:rsidR="0061383C">
        <w:t>c</w:t>
      </w:r>
      <w:r>
        <w:t>ontent test. Agencies must allocate a minimum weighting o</w:t>
      </w:r>
      <w:r w:rsidR="0061383C">
        <w:t>f 30% to the l</w:t>
      </w:r>
      <w:r>
        <w:t xml:space="preserve">ocal </w:t>
      </w:r>
      <w:r w:rsidR="0061383C">
        <w:t>c</w:t>
      </w:r>
      <w:r>
        <w:t>ontent test criteria.</w:t>
      </w:r>
    </w:p>
    <w:p w:rsidR="000768FB" w:rsidRDefault="000768FB" w:rsidP="000768FB">
      <w:r>
        <w:t>A key focus of the test is to ask more objective, clearer local content questions in tender documents, rather than subjective or open-ended questions. Objective questions are simpler for industry to respond to, and simpler for evaluators to assess relative to other responses. This will lead to more consistency of outcomes for industry.</w:t>
      </w:r>
    </w:p>
    <w:p w:rsidR="000768FB" w:rsidRDefault="000768FB" w:rsidP="000768FB">
      <w:r>
        <w:t>Using the tenderer’s proposed local content as an input, the test seeks to determine the resulting local benefits that will be provided to the Territory economy and community if the tenderer is awarded the contract. Benefits may be directly related to the contract (such as the benefit of the company’s local knowledge, retaining jobs and providing training opportunities), but there can also be indirect, flow-on benefits for the community (such as economic stimulation and broader community activity) including benefits that outlast completion of the contract.</w:t>
      </w:r>
    </w:p>
    <w:p w:rsidR="000768FB" w:rsidRDefault="000768FB" w:rsidP="000768FB">
      <w:r>
        <w:t>A model</w:t>
      </w:r>
      <w:r w:rsidR="0061383C">
        <w:t xml:space="preserve"> l</w:t>
      </w:r>
      <w:r>
        <w:t xml:space="preserve">ocal </w:t>
      </w:r>
      <w:r w:rsidR="0061383C">
        <w:t>c</w:t>
      </w:r>
      <w:r>
        <w:t xml:space="preserve">ontent test has been produced and made available to all agencies, with the expectation that agencies tailor this as appropriate for their own activity. While the </w:t>
      </w:r>
      <w:r w:rsidR="0061383C">
        <w:t>l</w:t>
      </w:r>
      <w:r>
        <w:t xml:space="preserve">ocal </w:t>
      </w:r>
      <w:r w:rsidR="0061383C">
        <w:t>c</w:t>
      </w:r>
      <w:r>
        <w:t>ontent test assessment criteria will vary depending on the nature of the procurement, typically it will include:</w:t>
      </w:r>
    </w:p>
    <w:p w:rsidR="000768FB" w:rsidRDefault="000768FB" w:rsidP="000768FB">
      <w:pPr>
        <w:pStyle w:val="ListParagraph"/>
        <w:numPr>
          <w:ilvl w:val="0"/>
          <w:numId w:val="18"/>
        </w:numPr>
      </w:pPr>
      <w:r>
        <w:t>employment</w:t>
      </w:r>
    </w:p>
    <w:p w:rsidR="000768FB" w:rsidRDefault="000768FB" w:rsidP="000768FB">
      <w:pPr>
        <w:pStyle w:val="ListParagraph"/>
        <w:numPr>
          <w:ilvl w:val="0"/>
          <w:numId w:val="18"/>
        </w:numPr>
      </w:pPr>
      <w:r>
        <w:t>up-skilling (including apprenticeships, formal and informal training)</w:t>
      </w:r>
    </w:p>
    <w:p w:rsidR="000768FB" w:rsidRDefault="000768FB" w:rsidP="000768FB">
      <w:pPr>
        <w:pStyle w:val="ListParagraph"/>
        <w:numPr>
          <w:ilvl w:val="0"/>
          <w:numId w:val="18"/>
        </w:numPr>
      </w:pPr>
      <w:r>
        <w:t>local industry participation (as contractors and part of the</w:t>
      </w:r>
      <w:r w:rsidR="00F55769">
        <w:t xml:space="preserve"> </w:t>
      </w:r>
      <w:r>
        <w:t>supply chain)</w:t>
      </w:r>
    </w:p>
    <w:p w:rsidR="000768FB" w:rsidRDefault="000768FB" w:rsidP="000768FB">
      <w:pPr>
        <w:pStyle w:val="ListParagraph"/>
        <w:numPr>
          <w:ilvl w:val="0"/>
          <w:numId w:val="18"/>
        </w:numPr>
      </w:pPr>
      <w:r>
        <w:t>local industry development initiatives</w:t>
      </w:r>
    </w:p>
    <w:p w:rsidR="000768FB" w:rsidRDefault="007B16C3" w:rsidP="000768FB">
      <w:pPr>
        <w:pStyle w:val="ListParagraph"/>
        <w:numPr>
          <w:ilvl w:val="0"/>
          <w:numId w:val="18"/>
        </w:numPr>
      </w:pPr>
      <w:r>
        <w:t>Aboriginal</w:t>
      </w:r>
      <w:r w:rsidR="000768FB">
        <w:t xml:space="preserve"> development initiatives</w:t>
      </w:r>
    </w:p>
    <w:p w:rsidR="000768FB" w:rsidRDefault="000768FB" w:rsidP="000768FB">
      <w:pPr>
        <w:pStyle w:val="ListParagraph"/>
        <w:numPr>
          <w:ilvl w:val="0"/>
          <w:numId w:val="18"/>
        </w:numPr>
      </w:pPr>
      <w:r>
        <w:t>regional development initiatives.</w:t>
      </w:r>
    </w:p>
    <w:p w:rsidR="000768FB" w:rsidRDefault="000768FB" w:rsidP="000768FB">
      <w:pPr>
        <w:jc w:val="right"/>
      </w:pPr>
      <w:r>
        <w:rPr>
          <w:noProof/>
          <w:lang w:eastAsia="en-AU"/>
        </w:rPr>
        <w:drawing>
          <wp:inline distT="0" distB="0" distL="0" distR="0">
            <wp:extent cx="2381250" cy="2409825"/>
            <wp:effectExtent l="0" t="0" r="0" b="9525"/>
            <wp:docPr id="4" name="Picture 4" descr="Four sectors in a donut chart: agency planning, tendering (highlighted), contract formation, contract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ur sectors in a donut chart: agency planning, tendering (highlighted), contract formation, contract manag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2409825"/>
                    </a:xfrm>
                    <a:prstGeom prst="rect">
                      <a:avLst/>
                    </a:prstGeom>
                    <a:noFill/>
                    <a:ln>
                      <a:noFill/>
                    </a:ln>
                  </pic:spPr>
                </pic:pic>
              </a:graphicData>
            </a:graphic>
          </wp:inline>
        </w:drawing>
      </w:r>
    </w:p>
    <w:p w:rsidR="00F55769" w:rsidRDefault="00F55769">
      <w:r>
        <w:br w:type="page"/>
      </w:r>
    </w:p>
    <w:p w:rsidR="000768FB" w:rsidRDefault="00F55769" w:rsidP="00F55769">
      <w:pPr>
        <w:pStyle w:val="Heading1"/>
      </w:pPr>
      <w:bookmarkStart w:id="4" w:name="_Toc514309560"/>
      <w:r>
        <w:lastRenderedPageBreak/>
        <w:t>Consistency and quality of assessment</w:t>
      </w:r>
      <w:bookmarkEnd w:id="4"/>
    </w:p>
    <w:p w:rsidR="00F55769" w:rsidRDefault="00F55769" w:rsidP="00F55769">
      <w:pPr>
        <w:pStyle w:val="Highlight"/>
      </w:pPr>
      <w:r w:rsidRPr="00F55769">
        <w:t xml:space="preserve">Improving consistency and quality in the assessment of </w:t>
      </w:r>
      <w:r w:rsidR="0061383C">
        <w:t>l</w:t>
      </w:r>
      <w:r w:rsidRPr="00F55769">
        <w:t xml:space="preserve">ocal </w:t>
      </w:r>
      <w:r w:rsidR="0061383C">
        <w:t>c</w:t>
      </w:r>
      <w:r w:rsidRPr="00F55769">
        <w:t>ontent during tender evaluations</w:t>
      </w:r>
    </w:p>
    <w:p w:rsidR="00F55769" w:rsidRDefault="00F55769" w:rsidP="00F55769">
      <w:r>
        <w:t xml:space="preserve">Under the Buy Local Plan’s </w:t>
      </w:r>
      <w:r w:rsidR="0061383C">
        <w:t>l</w:t>
      </w:r>
      <w:r>
        <w:t xml:space="preserve">ocal </w:t>
      </w:r>
      <w:r w:rsidR="0061383C">
        <w:t>c</w:t>
      </w:r>
      <w:r>
        <w:t>ontent assessment criteria, a tenderer’s score will be determined by both the potential benefits available, and NT Government’s degree of confidence, based on the information provided, that the tenderer can actually deliver those benefits. This ensures that assessors strike a balance between what a tenderer says they are going to do, but whether or not (based on various factors including their demonstrated commitment to delivering local benefits) NT Government is confident they will actua</w:t>
      </w:r>
      <w:r w:rsidR="0061383C">
        <w:t>lly perform. High marks on the l</w:t>
      </w:r>
      <w:r>
        <w:t xml:space="preserve">ocal </w:t>
      </w:r>
      <w:r w:rsidR="0061383C">
        <w:t>c</w:t>
      </w:r>
      <w:r>
        <w:t>ontent test will be awarded to responses where:</w:t>
      </w:r>
    </w:p>
    <w:p w:rsidR="00F55769" w:rsidRDefault="00F55769" w:rsidP="00F55769">
      <w:pPr>
        <w:pStyle w:val="ListParagraph"/>
        <w:numPr>
          <w:ilvl w:val="0"/>
          <w:numId w:val="21"/>
        </w:numPr>
      </w:pPr>
      <w:r>
        <w:t>suppliers have demonstrated a long-standing commitment to delivering local benefits</w:t>
      </w:r>
    </w:p>
    <w:p w:rsidR="00F55769" w:rsidRDefault="00F55769" w:rsidP="00F55769">
      <w:pPr>
        <w:pStyle w:val="ListParagraph"/>
        <w:numPr>
          <w:ilvl w:val="0"/>
          <w:numId w:val="21"/>
        </w:numPr>
      </w:pPr>
      <w:r>
        <w:t>proposed local benefits in tender responses are clear and significant</w:t>
      </w:r>
    </w:p>
    <w:p w:rsidR="00F55769" w:rsidRDefault="00F55769" w:rsidP="00F55769">
      <w:pPr>
        <w:pStyle w:val="ListParagraph"/>
        <w:numPr>
          <w:ilvl w:val="0"/>
          <w:numId w:val="21"/>
        </w:numPr>
      </w:pPr>
      <w:r>
        <w:t>the evaluation panel has a high degree of confidence in the supplier’s ability to deliver them.</w:t>
      </w:r>
    </w:p>
    <w:p w:rsidR="00F55769" w:rsidRDefault="00F55769" w:rsidP="00F55769">
      <w:r>
        <w:t xml:space="preserve">The primary goal of any NT Government procurement activity is to achieve </w:t>
      </w:r>
      <w:r w:rsidR="007B16C3">
        <w:t xml:space="preserve">the best value </w:t>
      </w:r>
      <w:r>
        <w:t>for</w:t>
      </w:r>
      <w:r w:rsidR="007B16C3">
        <w:t xml:space="preserve"> </w:t>
      </w:r>
      <w:r>
        <w:t>Territory outcome. Value</w:t>
      </w:r>
      <w:r w:rsidR="007B16C3">
        <w:t xml:space="preserve"> </w:t>
      </w:r>
      <w:r>
        <w:t>for</w:t>
      </w:r>
      <w:r w:rsidR="007B16C3">
        <w:t xml:space="preserve"> </w:t>
      </w:r>
      <w:r>
        <w:t xml:space="preserve">Territory does not just entail the lowest price, but broader considerations such as whole-of-life costs, support capabilities, past performance, commercial risk and local factors. NT Government’s assessment of the </w:t>
      </w:r>
      <w:r w:rsidR="0061383C">
        <w:t>l</w:t>
      </w:r>
      <w:r>
        <w:t xml:space="preserve">ocal </w:t>
      </w:r>
      <w:r w:rsidR="0061383C">
        <w:t>c</w:t>
      </w:r>
      <w:r>
        <w:t>ontent criteria - and indeed all criteria - occurs with the overarching goal of achieving best value</w:t>
      </w:r>
      <w:r w:rsidR="007B16C3">
        <w:t xml:space="preserve"> </w:t>
      </w:r>
      <w:r>
        <w:t>for</w:t>
      </w:r>
      <w:r w:rsidR="007B16C3">
        <w:t xml:space="preserve"> </w:t>
      </w:r>
      <w:r>
        <w:t>Territory.</w:t>
      </w:r>
    </w:p>
    <w:p w:rsidR="00F55769" w:rsidRDefault="00F55769" w:rsidP="00F55769">
      <w:pPr>
        <w:jc w:val="right"/>
      </w:pPr>
      <w:r>
        <w:rPr>
          <w:noProof/>
          <w:lang w:eastAsia="en-AU"/>
        </w:rPr>
        <w:drawing>
          <wp:inline distT="0" distB="0" distL="0" distR="0">
            <wp:extent cx="2381250" cy="2409825"/>
            <wp:effectExtent l="0" t="0" r="0" b="9525"/>
            <wp:docPr id="6" name="Picture 6" descr="Four sectors in a donut chart: agency planning, tendering (highlighted), contract formation, contract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our sectors in a donut chart: agency planning, tendering (highlighted), contract formation, contract manag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2409825"/>
                    </a:xfrm>
                    <a:prstGeom prst="rect">
                      <a:avLst/>
                    </a:prstGeom>
                    <a:noFill/>
                    <a:ln>
                      <a:noFill/>
                    </a:ln>
                  </pic:spPr>
                </pic:pic>
              </a:graphicData>
            </a:graphic>
          </wp:inline>
        </w:drawing>
      </w:r>
    </w:p>
    <w:p w:rsidR="00F55769" w:rsidRDefault="00F55769">
      <w:r>
        <w:br w:type="page"/>
      </w:r>
    </w:p>
    <w:p w:rsidR="00F55769" w:rsidRDefault="00F55769" w:rsidP="00F55769">
      <w:pPr>
        <w:pStyle w:val="Heading1"/>
      </w:pPr>
      <w:bookmarkStart w:id="5" w:name="_Toc514309561"/>
      <w:r>
        <w:lastRenderedPageBreak/>
        <w:t>Tender evaluation criteria</w:t>
      </w:r>
      <w:bookmarkEnd w:id="5"/>
    </w:p>
    <w:p w:rsidR="00F55769" w:rsidRDefault="00F55769" w:rsidP="00F55769">
      <w:pPr>
        <w:pStyle w:val="Highlight"/>
      </w:pPr>
      <w:r w:rsidRPr="00F55769">
        <w:t xml:space="preserve">Enhance the consideration of local benefits across all tender evaluation criteria, not just the standalone </w:t>
      </w:r>
      <w:r w:rsidR="0061383C">
        <w:t>l</w:t>
      </w:r>
      <w:r w:rsidRPr="00F55769">
        <w:t xml:space="preserve">ocal </w:t>
      </w:r>
      <w:r w:rsidR="0061383C">
        <w:t>c</w:t>
      </w:r>
      <w:r w:rsidRPr="00F55769">
        <w:t>ontent test</w:t>
      </w:r>
    </w:p>
    <w:p w:rsidR="00F55769" w:rsidRPr="00F55769" w:rsidRDefault="00F55769" w:rsidP="00F55769">
      <w:pPr>
        <w:rPr>
          <w:lang w:eastAsia="en-AU"/>
        </w:rPr>
      </w:pPr>
      <w:r w:rsidRPr="00F55769">
        <w:rPr>
          <w:lang w:eastAsia="en-AU"/>
        </w:rPr>
        <w:t>Under the Buy Local Plan, agencies are encouraged to consider local benefit opportunities that may be relevant within other assessment criteria, and ask corresponding questions in the tender. This gives tenderers more opportunities to demonstrate the benefits of their 'localness'. As these questions are asked and assessed within another criteria, they ar</w:t>
      </w:r>
      <w:r w:rsidR="0061383C">
        <w:rPr>
          <w:lang w:eastAsia="en-AU"/>
        </w:rPr>
        <w:t>e in effect over and above the l</w:t>
      </w:r>
      <w:r w:rsidRPr="00F55769">
        <w:rPr>
          <w:lang w:eastAsia="en-AU"/>
        </w:rPr>
        <w:t xml:space="preserve">ocal </w:t>
      </w:r>
      <w:r w:rsidR="0061383C">
        <w:rPr>
          <w:lang w:eastAsia="en-AU"/>
        </w:rPr>
        <w:t>c</w:t>
      </w:r>
      <w:r w:rsidRPr="00F55769">
        <w:rPr>
          <w:lang w:eastAsia="en-AU"/>
        </w:rPr>
        <w:t>ontent test’s 30% weighting.</w:t>
      </w:r>
    </w:p>
    <w:p w:rsidR="00F55769" w:rsidRPr="00F55769" w:rsidRDefault="00F55769" w:rsidP="00F55769">
      <w:pPr>
        <w:rPr>
          <w:lang w:eastAsia="en-AU"/>
        </w:rPr>
      </w:pPr>
      <w:r w:rsidRPr="00F55769">
        <w:rPr>
          <w:lang w:eastAsia="en-AU"/>
        </w:rPr>
        <w:t>The Buy Local Plan recognises that local benefits can often not be assessed in isolation. Rather, local benefits such as knowledge of environmental and market conditions unique to the Territory and proximity of supply chain are best considered under other sections of the tender relating to, for example, capacity and timeliness.</w:t>
      </w:r>
    </w:p>
    <w:p w:rsidR="00F55769" w:rsidRPr="00F55769" w:rsidRDefault="00F55769" w:rsidP="00F55769">
      <w:pPr>
        <w:rPr>
          <w:lang w:eastAsia="en-AU"/>
        </w:rPr>
      </w:pPr>
      <w:r w:rsidRPr="00F55769">
        <w:rPr>
          <w:lang w:eastAsia="en-AU"/>
        </w:rPr>
        <w:t>While these other (or dispersed) local benefit questions will vary depending on the nature of the procurement, such as:</w:t>
      </w:r>
    </w:p>
    <w:p w:rsidR="00F55769" w:rsidRPr="00F55769" w:rsidRDefault="00F55769" w:rsidP="00F55769">
      <w:pPr>
        <w:pStyle w:val="ListParagraph"/>
        <w:numPr>
          <w:ilvl w:val="0"/>
          <w:numId w:val="23"/>
        </w:numPr>
        <w:rPr>
          <w:rFonts w:eastAsia="Times New Roman"/>
          <w:lang w:eastAsia="en-AU"/>
        </w:rPr>
      </w:pPr>
      <w:r w:rsidRPr="00F55769">
        <w:rPr>
          <w:rFonts w:eastAsia="Times New Roman"/>
          <w:b/>
          <w:bCs/>
          <w:lang w:eastAsia="en-AU"/>
        </w:rPr>
        <w:t>Past performance</w:t>
      </w:r>
      <w:r w:rsidRPr="00F55769">
        <w:rPr>
          <w:rFonts w:eastAsia="Times New Roman"/>
          <w:lang w:eastAsia="en-AU"/>
        </w:rPr>
        <w:t xml:space="preserve">, </w:t>
      </w:r>
      <w:r>
        <w:rPr>
          <w:rFonts w:eastAsia="Times New Roman"/>
          <w:lang w:eastAsia="en-AU"/>
        </w:rPr>
        <w:t>for example,</w:t>
      </w:r>
      <w:r w:rsidRPr="00F55769">
        <w:rPr>
          <w:rFonts w:eastAsia="Times New Roman"/>
          <w:lang w:eastAsia="en-AU"/>
        </w:rPr>
        <w:t xml:space="preserve"> an organisation’s track record of enhancing local economic and community outcomes through its delivery of similar contracts.</w:t>
      </w:r>
    </w:p>
    <w:p w:rsidR="00F55769" w:rsidRPr="00F55769" w:rsidRDefault="00F55769" w:rsidP="00F55769">
      <w:pPr>
        <w:pStyle w:val="ListParagraph"/>
        <w:numPr>
          <w:ilvl w:val="0"/>
          <w:numId w:val="23"/>
        </w:numPr>
        <w:rPr>
          <w:rFonts w:eastAsia="Times New Roman"/>
          <w:lang w:eastAsia="en-AU"/>
        </w:rPr>
      </w:pPr>
      <w:r w:rsidRPr="00F55769">
        <w:rPr>
          <w:rFonts w:eastAsia="Times New Roman"/>
          <w:b/>
          <w:bCs/>
          <w:lang w:eastAsia="en-AU"/>
        </w:rPr>
        <w:t>Capacity</w:t>
      </w:r>
      <w:r w:rsidRPr="00F55769">
        <w:rPr>
          <w:rFonts w:eastAsia="Times New Roman"/>
          <w:lang w:eastAsia="en-AU"/>
        </w:rPr>
        <w:t xml:space="preserve">, </w:t>
      </w:r>
      <w:r>
        <w:rPr>
          <w:rFonts w:eastAsia="Times New Roman"/>
          <w:lang w:eastAsia="en-AU"/>
        </w:rPr>
        <w:t>for example,</w:t>
      </w:r>
      <w:r w:rsidRPr="00F55769">
        <w:rPr>
          <w:rFonts w:eastAsia="Times New Roman"/>
          <w:lang w:eastAsia="en-AU"/>
        </w:rPr>
        <w:t xml:space="preserve"> a tenderer’s use of local knowledge (technical, environmental, geographical, cultural and other) to ensure successful contract delivery.</w:t>
      </w:r>
    </w:p>
    <w:p w:rsidR="00F55769" w:rsidRPr="00F55769" w:rsidRDefault="00F55769" w:rsidP="00F55769">
      <w:pPr>
        <w:pStyle w:val="ListParagraph"/>
        <w:numPr>
          <w:ilvl w:val="0"/>
          <w:numId w:val="23"/>
        </w:numPr>
        <w:rPr>
          <w:rFonts w:eastAsia="Times New Roman"/>
          <w:lang w:eastAsia="en-AU"/>
        </w:rPr>
      </w:pPr>
      <w:r w:rsidRPr="00F55769">
        <w:rPr>
          <w:rFonts w:eastAsia="Times New Roman"/>
          <w:b/>
          <w:bCs/>
          <w:lang w:eastAsia="en-AU"/>
        </w:rPr>
        <w:t>Timeliness</w:t>
      </w:r>
      <w:r w:rsidRPr="00F55769">
        <w:rPr>
          <w:rFonts w:eastAsia="Times New Roman"/>
          <w:lang w:eastAsia="en-AU"/>
        </w:rPr>
        <w:t xml:space="preserve">, </w:t>
      </w:r>
      <w:r>
        <w:rPr>
          <w:rFonts w:eastAsia="Times New Roman"/>
          <w:lang w:eastAsia="en-AU"/>
        </w:rPr>
        <w:t>for example,</w:t>
      </w:r>
      <w:r w:rsidRPr="00F55769">
        <w:rPr>
          <w:rFonts w:eastAsia="Times New Roman"/>
          <w:lang w:eastAsia="en-AU"/>
        </w:rPr>
        <w:t xml:space="preserve"> proximity and responsiveness of supply chain.</w:t>
      </w:r>
    </w:p>
    <w:p w:rsidR="00F55769" w:rsidRPr="00F55769" w:rsidRDefault="00F55769" w:rsidP="00F55769">
      <w:pPr>
        <w:pStyle w:val="ListParagraph"/>
        <w:numPr>
          <w:ilvl w:val="0"/>
          <w:numId w:val="23"/>
        </w:numPr>
        <w:rPr>
          <w:rFonts w:eastAsia="Times New Roman"/>
          <w:lang w:eastAsia="en-AU"/>
        </w:rPr>
      </w:pPr>
      <w:r w:rsidRPr="00F55769">
        <w:rPr>
          <w:rFonts w:eastAsia="Times New Roman"/>
          <w:b/>
          <w:bCs/>
          <w:lang w:eastAsia="en-AU"/>
        </w:rPr>
        <w:t>Innovation</w:t>
      </w:r>
      <w:r w:rsidRPr="00F55769">
        <w:rPr>
          <w:rFonts w:eastAsia="Times New Roman"/>
          <w:lang w:eastAsia="en-AU"/>
        </w:rPr>
        <w:t xml:space="preserve">, </w:t>
      </w:r>
      <w:r>
        <w:rPr>
          <w:rFonts w:eastAsia="Times New Roman"/>
          <w:lang w:eastAsia="en-AU"/>
        </w:rPr>
        <w:t>for example,</w:t>
      </w:r>
      <w:r w:rsidRPr="00F55769">
        <w:rPr>
          <w:rFonts w:eastAsia="Times New Roman"/>
          <w:lang w:eastAsia="en-AU"/>
        </w:rPr>
        <w:t xml:space="preserve"> development of any new products, business models or other capabilities within the NT as a result of the contract.</w:t>
      </w:r>
    </w:p>
    <w:p w:rsidR="00F55769" w:rsidRDefault="00F55769" w:rsidP="00401584">
      <w:r w:rsidRPr="00F55769">
        <w:rPr>
          <w:noProof/>
          <w:lang w:eastAsia="en-AU"/>
        </w:rPr>
        <w:drawing>
          <wp:inline distT="0" distB="0" distL="0" distR="0" wp14:anchorId="4075471B" wp14:editId="6E35BDD5">
            <wp:extent cx="2381250" cy="2390775"/>
            <wp:effectExtent l="0" t="0" r="0" b="9525"/>
            <wp:docPr id="7" name="Picture 7" descr="Four sectors in a donut chart: agency planning, tendering (highlighted), contract formation, contract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ur sectors in a donut chart: agency planning, tendering (highlighted), contract formation, contract manag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2390775"/>
                    </a:xfrm>
                    <a:prstGeom prst="rect">
                      <a:avLst/>
                    </a:prstGeom>
                    <a:noFill/>
                    <a:ln>
                      <a:noFill/>
                    </a:ln>
                  </pic:spPr>
                </pic:pic>
              </a:graphicData>
            </a:graphic>
          </wp:inline>
        </w:drawing>
      </w:r>
    </w:p>
    <w:p w:rsidR="00F55769" w:rsidRDefault="00F55769">
      <w:r>
        <w:br w:type="page"/>
      </w:r>
    </w:p>
    <w:p w:rsidR="00F55769" w:rsidRDefault="007B16C3" w:rsidP="00F55769">
      <w:pPr>
        <w:pStyle w:val="Heading1"/>
      </w:pPr>
      <w:bookmarkStart w:id="6" w:name="_Toc514309562"/>
      <w:r>
        <w:lastRenderedPageBreak/>
        <w:t>O</w:t>
      </w:r>
      <w:r w:rsidR="0061383C">
        <w:t>pportunities for Territory e</w:t>
      </w:r>
      <w:r w:rsidR="00F55769">
        <w:t>nterprises to quote</w:t>
      </w:r>
      <w:bookmarkEnd w:id="6"/>
    </w:p>
    <w:p w:rsidR="00F55769" w:rsidRDefault="00F55769" w:rsidP="00F55769">
      <w:pPr>
        <w:pStyle w:val="Highlight"/>
      </w:pPr>
      <w:r w:rsidRPr="00F55769">
        <w:t xml:space="preserve">Inviting at least one quote from a </w:t>
      </w:r>
      <w:r>
        <w:t>T</w:t>
      </w:r>
      <w:r w:rsidRPr="00F55769">
        <w:t xml:space="preserve">erritory </w:t>
      </w:r>
      <w:r w:rsidR="0061383C">
        <w:t>e</w:t>
      </w:r>
      <w:r w:rsidRPr="00F55769">
        <w:t>nterprise for tier 1 and 2 procurement</w:t>
      </w:r>
    </w:p>
    <w:p w:rsidR="00F55769" w:rsidRPr="00F55769" w:rsidRDefault="00F55769" w:rsidP="00F55769">
      <w:pPr>
        <w:rPr>
          <w:lang w:eastAsia="en-AU"/>
        </w:rPr>
      </w:pPr>
      <w:r w:rsidRPr="00F55769">
        <w:rPr>
          <w:lang w:eastAsia="en-AU"/>
        </w:rPr>
        <w:t>Under the NT</w:t>
      </w:r>
      <w:r w:rsidR="007B16C3">
        <w:rPr>
          <w:lang w:eastAsia="en-AU"/>
        </w:rPr>
        <w:t xml:space="preserve"> </w:t>
      </w:r>
      <w:r w:rsidRPr="00F55769">
        <w:rPr>
          <w:lang w:eastAsia="en-AU"/>
        </w:rPr>
        <w:t>G</w:t>
      </w:r>
      <w:r w:rsidR="007B16C3">
        <w:rPr>
          <w:lang w:eastAsia="en-AU"/>
        </w:rPr>
        <w:t>overnment</w:t>
      </w:r>
      <w:r w:rsidRPr="00F55769">
        <w:rPr>
          <w:lang w:eastAsia="en-AU"/>
        </w:rPr>
        <w:t xml:space="preserve"> procurement framework, tier 1 and 2 procurements are able to be conducted through a simplified quotation process, rather than through a public tender process. As a result, local businesses are often unaware of the opportunities that may be present at these levels. The Buy Local Plan addresses this by requiring that, for all tier 1 and 2 procurements, agencies invite at le</w:t>
      </w:r>
      <w:r w:rsidR="0061383C">
        <w:rPr>
          <w:lang w:eastAsia="en-AU"/>
        </w:rPr>
        <w:t>ast one quote from a Territory e</w:t>
      </w:r>
      <w:r w:rsidRPr="00F55769">
        <w:rPr>
          <w:lang w:eastAsia="en-AU"/>
        </w:rPr>
        <w:t>nterprise.</w:t>
      </w:r>
    </w:p>
    <w:p w:rsidR="00F55769" w:rsidRPr="00F55769" w:rsidRDefault="0061383C" w:rsidP="00F55769">
      <w:pPr>
        <w:rPr>
          <w:lang w:eastAsia="en-AU"/>
        </w:rPr>
      </w:pPr>
      <w:r>
        <w:rPr>
          <w:lang w:eastAsia="en-AU"/>
        </w:rPr>
        <w:t>A Territory e</w:t>
      </w:r>
      <w:r w:rsidR="00F55769" w:rsidRPr="00F55769">
        <w:rPr>
          <w:lang w:eastAsia="en-AU"/>
        </w:rPr>
        <w:t>nterprise is an enterprise operating in the N</w:t>
      </w:r>
      <w:r w:rsidR="0069566B">
        <w:rPr>
          <w:lang w:eastAsia="en-AU"/>
        </w:rPr>
        <w:t>T</w:t>
      </w:r>
      <w:r w:rsidR="00F55769" w:rsidRPr="00F55769">
        <w:rPr>
          <w:lang w:eastAsia="en-AU"/>
        </w:rPr>
        <w:t>, with a significant permanent presence in the NT and employing NT residents.</w:t>
      </w:r>
    </w:p>
    <w:p w:rsidR="00F55769" w:rsidRPr="00F55769" w:rsidRDefault="00F55769" w:rsidP="00F55769">
      <w:pPr>
        <w:rPr>
          <w:lang w:eastAsia="en-AU"/>
        </w:rPr>
      </w:pPr>
      <w:r w:rsidRPr="00F55769">
        <w:rPr>
          <w:lang w:eastAsia="en-AU"/>
        </w:rPr>
        <w:t>Whether o</w:t>
      </w:r>
      <w:r w:rsidR="0061383C">
        <w:rPr>
          <w:lang w:eastAsia="en-AU"/>
        </w:rPr>
        <w:t>r not an entity is a Territory e</w:t>
      </w:r>
      <w:r w:rsidRPr="00F55769">
        <w:rPr>
          <w:lang w:eastAsia="en-AU"/>
        </w:rPr>
        <w:t>nterprise is not a one-time 'accreditation', but rather is considered by the NT</w:t>
      </w:r>
      <w:r w:rsidR="0069566B">
        <w:rPr>
          <w:lang w:eastAsia="en-AU"/>
        </w:rPr>
        <w:t xml:space="preserve"> </w:t>
      </w:r>
      <w:r w:rsidRPr="00F55769">
        <w:rPr>
          <w:lang w:eastAsia="en-AU"/>
        </w:rPr>
        <w:t>G</w:t>
      </w:r>
      <w:r w:rsidR="0069566B">
        <w:rPr>
          <w:lang w:eastAsia="en-AU"/>
        </w:rPr>
        <w:t>overnment</w:t>
      </w:r>
      <w:r w:rsidRPr="00F55769">
        <w:rPr>
          <w:lang w:eastAsia="en-AU"/>
        </w:rPr>
        <w:t xml:space="preserve"> procurement team each time they go to market.</w:t>
      </w:r>
    </w:p>
    <w:p w:rsidR="00F55769" w:rsidRPr="00F55769" w:rsidRDefault="0061383C" w:rsidP="00F55769">
      <w:r>
        <w:t>Territory e</w:t>
      </w:r>
      <w:r w:rsidR="00F55769" w:rsidRPr="00F55769">
        <w:t>nterprises must satisfy all three elements of the definition:</w:t>
      </w:r>
    </w:p>
    <w:p w:rsidR="00F55769" w:rsidRPr="00F55769" w:rsidRDefault="00F55769" w:rsidP="00F55769">
      <w:pPr>
        <w:pStyle w:val="ListParagraph"/>
        <w:numPr>
          <w:ilvl w:val="0"/>
          <w:numId w:val="25"/>
        </w:numPr>
        <w:rPr>
          <w:rFonts w:eastAsia="Times New Roman"/>
          <w:lang w:eastAsia="en-AU"/>
        </w:rPr>
      </w:pPr>
      <w:r w:rsidRPr="00F55769">
        <w:rPr>
          <w:rFonts w:eastAsia="Times New Roman"/>
          <w:b/>
          <w:bCs/>
          <w:lang w:eastAsia="en-AU"/>
        </w:rPr>
        <w:t>Operating in the N</w:t>
      </w:r>
      <w:r w:rsidR="0069566B">
        <w:rPr>
          <w:rFonts w:eastAsia="Times New Roman"/>
          <w:b/>
          <w:bCs/>
          <w:lang w:eastAsia="en-AU"/>
        </w:rPr>
        <w:t>T</w:t>
      </w:r>
      <w:r w:rsidR="0069566B">
        <w:rPr>
          <w:rFonts w:eastAsia="Times New Roman"/>
          <w:bCs/>
          <w:lang w:eastAsia="en-AU"/>
        </w:rPr>
        <w:t xml:space="preserve"> </w:t>
      </w:r>
      <w:r w:rsidRPr="00F55769">
        <w:rPr>
          <w:rFonts w:eastAsia="Times New Roman"/>
          <w:lang w:eastAsia="en-AU"/>
        </w:rPr>
        <w:t>- the enterprise is currently engaged in productive activities (</w:t>
      </w:r>
      <w:r w:rsidR="0069566B">
        <w:rPr>
          <w:rFonts w:eastAsia="Times New Roman"/>
          <w:lang w:eastAsia="en-AU"/>
        </w:rPr>
        <w:t>for example</w:t>
      </w:r>
      <w:r w:rsidRPr="00F55769">
        <w:rPr>
          <w:rFonts w:eastAsia="Times New Roman"/>
          <w:lang w:eastAsia="en-AU"/>
        </w:rPr>
        <w:t>, production of goods or delivery of services) within the NT.</w:t>
      </w:r>
    </w:p>
    <w:p w:rsidR="00F55769" w:rsidRPr="00F55769" w:rsidRDefault="00F55769" w:rsidP="00F55769">
      <w:pPr>
        <w:pStyle w:val="ListParagraph"/>
        <w:numPr>
          <w:ilvl w:val="0"/>
          <w:numId w:val="25"/>
        </w:numPr>
        <w:rPr>
          <w:rFonts w:eastAsia="Times New Roman"/>
          <w:lang w:eastAsia="en-AU"/>
        </w:rPr>
      </w:pPr>
      <w:r w:rsidRPr="00F55769">
        <w:rPr>
          <w:rFonts w:eastAsia="Times New Roman"/>
          <w:b/>
          <w:bCs/>
          <w:lang w:eastAsia="en-AU"/>
        </w:rPr>
        <w:t>Significant permanent presence</w:t>
      </w:r>
      <w:r w:rsidRPr="00F55769">
        <w:rPr>
          <w:rFonts w:eastAsia="Times New Roman"/>
          <w:lang w:eastAsia="en-AU"/>
        </w:rPr>
        <w:t xml:space="preserve"> - the enterprise maintains an office, manufacturing facilities or other permanent base within the NT.</w:t>
      </w:r>
    </w:p>
    <w:p w:rsidR="00F55769" w:rsidRPr="00F55769" w:rsidRDefault="00F55769" w:rsidP="00F55769">
      <w:pPr>
        <w:pStyle w:val="ListParagraph"/>
        <w:numPr>
          <w:ilvl w:val="0"/>
          <w:numId w:val="25"/>
        </w:numPr>
        <w:rPr>
          <w:rFonts w:eastAsia="Times New Roman"/>
          <w:lang w:eastAsia="en-AU"/>
        </w:rPr>
      </w:pPr>
      <w:r w:rsidRPr="00F55769">
        <w:rPr>
          <w:rFonts w:eastAsia="Times New Roman"/>
          <w:b/>
          <w:bCs/>
          <w:lang w:eastAsia="en-AU"/>
        </w:rPr>
        <w:t>Employing NT residents</w:t>
      </w:r>
      <w:r w:rsidRPr="00F55769">
        <w:rPr>
          <w:rFonts w:eastAsia="Times New Roman"/>
          <w:lang w:eastAsia="en-AU"/>
        </w:rPr>
        <w:t xml:space="preserve"> - the enterprise employs Territorians. An enterprise which relies exclusively on transient, interstate / international labour or a fly-in, fly-out workforce will not satisfy this element.</w:t>
      </w:r>
    </w:p>
    <w:p w:rsidR="00F55769" w:rsidRPr="00F55769" w:rsidRDefault="00F55769" w:rsidP="00F55769">
      <w:pPr>
        <w:rPr>
          <w:lang w:eastAsia="en-AU"/>
        </w:rPr>
      </w:pPr>
      <w:r w:rsidRPr="00F55769">
        <w:rPr>
          <w:lang w:eastAsia="en-AU"/>
        </w:rPr>
        <w:t>Whether or not an entity is</w:t>
      </w:r>
      <w:r w:rsidR="0061383C">
        <w:rPr>
          <w:lang w:eastAsia="en-AU"/>
        </w:rPr>
        <w:t xml:space="preserve"> deemed a Territory e</w:t>
      </w:r>
      <w:r w:rsidRPr="00F55769">
        <w:rPr>
          <w:lang w:eastAsia="en-AU"/>
        </w:rPr>
        <w:t xml:space="preserve">nterprise is for procurement purposes only directly relevant at the point of determining who receives an invitation to quote. Being a Territory </w:t>
      </w:r>
      <w:r w:rsidR="0061383C">
        <w:rPr>
          <w:lang w:eastAsia="en-AU"/>
        </w:rPr>
        <w:t>e</w:t>
      </w:r>
      <w:r w:rsidRPr="00F55769">
        <w:rPr>
          <w:lang w:eastAsia="en-AU"/>
        </w:rPr>
        <w:t>nterprise alone may allow a business to tender for work, but to successfully win work, the business must still put their best case forward in their response so as to demonstrate the value they offer. It is in business’ best interests to ensure they are registered with</w:t>
      </w:r>
      <w:r>
        <w:rPr>
          <w:lang w:eastAsia="en-AU"/>
        </w:rPr>
        <w:t xml:space="preserve"> </w:t>
      </w:r>
      <w:r w:rsidRPr="00F55769">
        <w:t>ICNNT,</w:t>
      </w:r>
      <w:r w:rsidRPr="00F55769">
        <w:rPr>
          <w:lang w:eastAsia="en-AU"/>
        </w:rPr>
        <w:t xml:space="preserve"> their profile is thorough and up-to-date, and there is sufficient information contained in other public sources (for example, their website), to inform NT</w:t>
      </w:r>
      <w:r w:rsidR="0069566B">
        <w:rPr>
          <w:lang w:eastAsia="en-AU"/>
        </w:rPr>
        <w:t xml:space="preserve"> </w:t>
      </w:r>
      <w:r w:rsidRPr="00F55769">
        <w:rPr>
          <w:lang w:eastAsia="en-AU"/>
        </w:rPr>
        <w:t>G</w:t>
      </w:r>
      <w:r w:rsidR="0069566B">
        <w:rPr>
          <w:lang w:eastAsia="en-AU"/>
        </w:rPr>
        <w:t>overnment</w:t>
      </w:r>
      <w:r w:rsidRPr="00F55769">
        <w:rPr>
          <w:lang w:eastAsia="en-AU"/>
        </w:rPr>
        <w:t xml:space="preserve"> and the broader market about the business and its capabilities.</w:t>
      </w:r>
    </w:p>
    <w:p w:rsidR="00F55769" w:rsidRPr="00F55769" w:rsidRDefault="00F55769" w:rsidP="00F55769">
      <w:pPr>
        <w:rPr>
          <w:lang w:eastAsia="en-AU"/>
        </w:rPr>
      </w:pPr>
      <w:r w:rsidRPr="00F55769">
        <w:rPr>
          <w:lang w:eastAsia="en-AU"/>
        </w:rPr>
        <w:t xml:space="preserve">Government also uses Territory </w:t>
      </w:r>
      <w:r w:rsidR="0061383C">
        <w:rPr>
          <w:lang w:eastAsia="en-AU"/>
        </w:rPr>
        <w:t>e</w:t>
      </w:r>
      <w:r w:rsidRPr="00F55769">
        <w:rPr>
          <w:lang w:eastAsia="en-AU"/>
        </w:rPr>
        <w:t>nterprise to track and monitor the level of work awarded to local businesses.</w:t>
      </w:r>
    </w:p>
    <w:p w:rsidR="00F55769" w:rsidRDefault="00F55769" w:rsidP="00F55769">
      <w:pPr>
        <w:jc w:val="right"/>
      </w:pPr>
      <w:r w:rsidRPr="00F55769">
        <w:rPr>
          <w:noProof/>
          <w:lang w:eastAsia="en-AU"/>
        </w:rPr>
        <w:drawing>
          <wp:inline distT="0" distB="0" distL="0" distR="0" wp14:anchorId="27B0183C" wp14:editId="299E7902">
            <wp:extent cx="2381250" cy="2390775"/>
            <wp:effectExtent l="0" t="0" r="0" b="9525"/>
            <wp:docPr id="9" name="Picture 9" descr="Four sectors in a donut chart: agency planning, tendering (highlighted), contract formation, contract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ur sectors in a donut chart: agency planning, tendering (highlighted), contract formation, contract manage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0" cy="2390775"/>
                    </a:xfrm>
                    <a:prstGeom prst="rect">
                      <a:avLst/>
                    </a:prstGeom>
                    <a:noFill/>
                    <a:ln>
                      <a:noFill/>
                    </a:ln>
                  </pic:spPr>
                </pic:pic>
              </a:graphicData>
            </a:graphic>
          </wp:inline>
        </w:drawing>
      </w:r>
    </w:p>
    <w:p w:rsidR="0069566B" w:rsidRDefault="0069566B">
      <w:r>
        <w:br w:type="page"/>
      </w:r>
    </w:p>
    <w:p w:rsidR="0069566B" w:rsidRDefault="0069566B" w:rsidP="0069566B">
      <w:pPr>
        <w:pStyle w:val="Heading1"/>
      </w:pPr>
      <w:bookmarkStart w:id="7" w:name="_Toc514309563"/>
      <w:r>
        <w:lastRenderedPageBreak/>
        <w:t>Buy Local Industry Advocate</w:t>
      </w:r>
      <w:bookmarkEnd w:id="7"/>
    </w:p>
    <w:p w:rsidR="0069566B" w:rsidRDefault="0069566B" w:rsidP="0069566B">
      <w:pPr>
        <w:pStyle w:val="Highlight"/>
      </w:pPr>
      <w:r w:rsidRPr="0069566B">
        <w:t>An independent advocacy function to government on behalf of the local industry</w:t>
      </w:r>
    </w:p>
    <w:p w:rsidR="0069566B" w:rsidRPr="0069566B" w:rsidRDefault="0069566B" w:rsidP="0069566B">
      <w:pPr>
        <w:rPr>
          <w:lang w:eastAsia="en-AU"/>
        </w:rPr>
      </w:pPr>
      <w:r w:rsidRPr="0069566B">
        <w:rPr>
          <w:lang w:eastAsia="en-AU"/>
        </w:rPr>
        <w:t>The Buy Local Industry Advocate is an independent link between local business and the N</w:t>
      </w:r>
      <w:r>
        <w:rPr>
          <w:lang w:eastAsia="en-AU"/>
        </w:rPr>
        <w:t>T </w:t>
      </w:r>
      <w:r w:rsidRPr="0069566B">
        <w:rPr>
          <w:lang w:eastAsia="en-AU"/>
        </w:rPr>
        <w:t>Government. The role of the Buy Local Industry Advocate is to:</w:t>
      </w:r>
    </w:p>
    <w:p w:rsidR="0069566B" w:rsidRPr="0069566B" w:rsidRDefault="0069566B" w:rsidP="0069566B">
      <w:pPr>
        <w:pStyle w:val="ListParagraph"/>
        <w:numPr>
          <w:ilvl w:val="0"/>
          <w:numId w:val="27"/>
        </w:numPr>
        <w:rPr>
          <w:rFonts w:eastAsia="Times New Roman"/>
          <w:lang w:eastAsia="en-AU"/>
        </w:rPr>
      </w:pPr>
      <w:r w:rsidRPr="0069566B">
        <w:rPr>
          <w:rFonts w:eastAsia="Times New Roman"/>
          <w:lang w:eastAsia="en-AU"/>
        </w:rPr>
        <w:t>provide an independent advocacy function</w:t>
      </w:r>
    </w:p>
    <w:p w:rsidR="0069566B" w:rsidRPr="0069566B" w:rsidRDefault="0069566B" w:rsidP="0069566B">
      <w:pPr>
        <w:pStyle w:val="ListParagraph"/>
        <w:numPr>
          <w:ilvl w:val="0"/>
          <w:numId w:val="27"/>
        </w:numPr>
        <w:rPr>
          <w:rFonts w:eastAsia="Times New Roman"/>
          <w:lang w:eastAsia="en-AU"/>
        </w:rPr>
      </w:pPr>
      <w:r w:rsidRPr="0069566B">
        <w:rPr>
          <w:rFonts w:eastAsia="Times New Roman"/>
          <w:lang w:eastAsia="en-AU"/>
        </w:rPr>
        <w:t>focus on promoting the Buy Local principles to both industry and government</w:t>
      </w:r>
    </w:p>
    <w:p w:rsidR="0069566B" w:rsidRPr="0069566B" w:rsidRDefault="0069566B" w:rsidP="0069566B">
      <w:pPr>
        <w:pStyle w:val="ListParagraph"/>
        <w:numPr>
          <w:ilvl w:val="0"/>
          <w:numId w:val="27"/>
        </w:numPr>
        <w:rPr>
          <w:rFonts w:eastAsia="Times New Roman"/>
          <w:lang w:eastAsia="en-AU"/>
        </w:rPr>
      </w:pPr>
      <w:r w:rsidRPr="0069566B">
        <w:rPr>
          <w:rFonts w:eastAsia="Times New Roman"/>
          <w:lang w:eastAsia="en-AU"/>
        </w:rPr>
        <w:t xml:space="preserve">provide an audit and assurance role with respect to government procurement (the </w:t>
      </w:r>
      <w:r>
        <w:rPr>
          <w:rFonts w:eastAsia="Times New Roman"/>
          <w:lang w:eastAsia="en-AU"/>
        </w:rPr>
        <w:t>v</w:t>
      </w:r>
      <w:r w:rsidRPr="0069566B">
        <w:rPr>
          <w:rFonts w:eastAsia="Times New Roman"/>
          <w:lang w:eastAsia="en-AU"/>
        </w:rPr>
        <w:t>alue</w:t>
      </w:r>
      <w:r w:rsidR="007B16C3">
        <w:rPr>
          <w:rFonts w:eastAsia="Times New Roman"/>
          <w:lang w:eastAsia="en-AU"/>
        </w:rPr>
        <w:t xml:space="preserve"> </w:t>
      </w:r>
      <w:r w:rsidRPr="0069566B">
        <w:rPr>
          <w:rFonts w:eastAsia="Times New Roman"/>
          <w:lang w:eastAsia="en-AU"/>
        </w:rPr>
        <w:t>for</w:t>
      </w:r>
      <w:r w:rsidR="007B16C3">
        <w:rPr>
          <w:rFonts w:eastAsia="Times New Roman"/>
          <w:lang w:eastAsia="en-AU"/>
        </w:rPr>
        <w:t xml:space="preserve"> </w:t>
      </w:r>
      <w:r w:rsidRPr="0069566B">
        <w:rPr>
          <w:rFonts w:eastAsia="Times New Roman"/>
          <w:lang w:eastAsia="en-AU"/>
        </w:rPr>
        <w:t>Territory assurance program)</w:t>
      </w:r>
    </w:p>
    <w:p w:rsidR="0069566B" w:rsidRPr="0069566B" w:rsidRDefault="0069566B" w:rsidP="0069566B">
      <w:pPr>
        <w:pStyle w:val="ListParagraph"/>
        <w:numPr>
          <w:ilvl w:val="0"/>
          <w:numId w:val="27"/>
        </w:numPr>
        <w:rPr>
          <w:rFonts w:eastAsia="Times New Roman"/>
          <w:lang w:eastAsia="en-AU"/>
        </w:rPr>
      </w:pPr>
      <w:r w:rsidRPr="0069566B">
        <w:rPr>
          <w:rFonts w:eastAsia="Times New Roman"/>
          <w:lang w:eastAsia="en-AU"/>
        </w:rPr>
        <w:t>monitor the effectiveness of the Buy Local Plan, including monitoring for unintended consequences.</w:t>
      </w:r>
    </w:p>
    <w:p w:rsidR="0069566B" w:rsidRPr="0069566B" w:rsidRDefault="0069566B" w:rsidP="0069566B">
      <w:pPr>
        <w:rPr>
          <w:lang w:eastAsia="en-AU"/>
        </w:rPr>
      </w:pPr>
      <w:r w:rsidRPr="0069566B">
        <w:rPr>
          <w:lang w:eastAsia="en-AU"/>
        </w:rPr>
        <w:t>The advocate is a member of a reformed Procurement Review Board and chairs a subcommittee of that board which focuses on Buy Local policies. The advocate can investigate complaints directly from industry and act on their own initiative to randomly audit the awarding of contracts and the implementation of those contracts.</w:t>
      </w:r>
    </w:p>
    <w:p w:rsidR="0069566B" w:rsidRPr="0069566B" w:rsidRDefault="0069566B" w:rsidP="0069566B">
      <w:pPr>
        <w:rPr>
          <w:lang w:eastAsia="en-AU"/>
        </w:rPr>
      </w:pPr>
      <w:r w:rsidRPr="0069566B">
        <w:rPr>
          <w:lang w:eastAsia="en-AU"/>
        </w:rPr>
        <w:t xml:space="preserve">The Buy Local Industry Advocate ensures that Territory </w:t>
      </w:r>
      <w:r w:rsidR="0061383C">
        <w:rPr>
          <w:lang w:eastAsia="en-AU"/>
        </w:rPr>
        <w:t>e</w:t>
      </w:r>
      <w:r w:rsidRPr="0069566B">
        <w:rPr>
          <w:lang w:eastAsia="en-AU"/>
        </w:rPr>
        <w:t xml:space="preserve">nterprises are provided full, fair and reasonable opportunity to compete for government contracts, that </w:t>
      </w:r>
      <w:r>
        <w:rPr>
          <w:lang w:eastAsia="en-AU"/>
        </w:rPr>
        <w:t>v</w:t>
      </w:r>
      <w:r w:rsidRPr="0069566B">
        <w:rPr>
          <w:lang w:eastAsia="en-AU"/>
        </w:rPr>
        <w:t>alue for Territory is considered in all aspects of government contracting, and promotes the adoption of Buy Local principles by industry.</w:t>
      </w:r>
    </w:p>
    <w:p w:rsidR="0069566B" w:rsidRPr="0069566B" w:rsidRDefault="0069566B" w:rsidP="0069566B">
      <w:pPr>
        <w:rPr>
          <w:lang w:eastAsia="en-AU"/>
        </w:rPr>
      </w:pPr>
      <w:r w:rsidRPr="0069566B">
        <w:rPr>
          <w:lang w:eastAsia="en-AU"/>
        </w:rPr>
        <w:t xml:space="preserve">The advocate can be contacted </w:t>
      </w:r>
      <w:r>
        <w:rPr>
          <w:lang w:eastAsia="en-AU"/>
        </w:rPr>
        <w:t xml:space="preserve">on (08) 8999 7799, via email to </w:t>
      </w:r>
      <w:hyperlink r:id="rId16" w:history="1">
        <w:r w:rsidRPr="008865A8">
          <w:rPr>
            <w:rStyle w:val="Hyperlink"/>
          </w:rPr>
          <w:t>buylocal.advocate@nt.gov.au</w:t>
        </w:r>
      </w:hyperlink>
      <w:r>
        <w:t xml:space="preserve"> </w:t>
      </w:r>
    </w:p>
    <w:p w:rsidR="0069566B" w:rsidRDefault="0069566B" w:rsidP="0069566B">
      <w:pPr>
        <w:jc w:val="right"/>
      </w:pPr>
      <w:r w:rsidRPr="0069566B">
        <w:rPr>
          <w:noProof/>
          <w:lang w:eastAsia="en-AU"/>
        </w:rPr>
        <w:drawing>
          <wp:inline distT="0" distB="0" distL="0" distR="0" wp14:anchorId="15AC79E0" wp14:editId="14CC5188">
            <wp:extent cx="2381250" cy="2400300"/>
            <wp:effectExtent l="0" t="0" r="0" b="0"/>
            <wp:docPr id="11" name="Picture 11" descr="Four sectors in a donut chart: agency planning, tendering, contract formation, contract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ur sectors in a donut chart: agency planning, tendering, contract formation, contract manag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2400300"/>
                    </a:xfrm>
                    <a:prstGeom prst="rect">
                      <a:avLst/>
                    </a:prstGeom>
                    <a:noFill/>
                    <a:ln>
                      <a:noFill/>
                    </a:ln>
                  </pic:spPr>
                </pic:pic>
              </a:graphicData>
            </a:graphic>
          </wp:inline>
        </w:drawing>
      </w:r>
    </w:p>
    <w:p w:rsidR="0069566B" w:rsidRDefault="0069566B">
      <w:r>
        <w:br w:type="page"/>
      </w:r>
    </w:p>
    <w:p w:rsidR="0069566B" w:rsidRDefault="0069566B" w:rsidP="0069566B">
      <w:pPr>
        <w:pStyle w:val="Heading1"/>
      </w:pPr>
      <w:bookmarkStart w:id="8" w:name="_Toc514309564"/>
      <w:r>
        <w:lastRenderedPageBreak/>
        <w:t>Contractual terms and conditions</w:t>
      </w:r>
      <w:bookmarkEnd w:id="8"/>
    </w:p>
    <w:p w:rsidR="0069566B" w:rsidRDefault="0069566B" w:rsidP="0069566B">
      <w:pPr>
        <w:pStyle w:val="Highlight"/>
      </w:pPr>
      <w:r w:rsidRPr="0069566B">
        <w:t xml:space="preserve">Amending standard </w:t>
      </w:r>
      <w:r>
        <w:t>NT Government</w:t>
      </w:r>
      <w:r w:rsidRPr="0069566B">
        <w:t xml:space="preserve"> contractual terms and conditions to incorpo</w:t>
      </w:r>
      <w:r w:rsidR="0061383C">
        <w:t>rate the successful tenderer's l</w:t>
      </w:r>
      <w:r w:rsidRPr="0069566B">
        <w:t xml:space="preserve">ocal </w:t>
      </w:r>
      <w:r w:rsidR="0061383C">
        <w:t>c</w:t>
      </w:r>
      <w:r w:rsidRPr="0069566B">
        <w:t>ontent commitments</w:t>
      </w:r>
    </w:p>
    <w:p w:rsidR="0069566B" w:rsidRPr="0069566B" w:rsidRDefault="0069566B" w:rsidP="0069566B">
      <w:pPr>
        <w:rPr>
          <w:lang w:eastAsia="en-AU"/>
        </w:rPr>
      </w:pPr>
      <w:r w:rsidRPr="0069566B">
        <w:rPr>
          <w:lang w:eastAsia="en-AU"/>
        </w:rPr>
        <w:t>Under th</w:t>
      </w:r>
      <w:r w:rsidR="0061383C">
        <w:rPr>
          <w:lang w:eastAsia="en-AU"/>
        </w:rPr>
        <w:t>e Buy Local Plan, a tenderer’s l</w:t>
      </w:r>
      <w:r w:rsidRPr="0069566B">
        <w:rPr>
          <w:lang w:eastAsia="en-AU"/>
        </w:rPr>
        <w:t xml:space="preserve">ocal </w:t>
      </w:r>
      <w:r w:rsidR="0061383C">
        <w:rPr>
          <w:lang w:eastAsia="en-AU"/>
        </w:rPr>
        <w:t>c</w:t>
      </w:r>
      <w:r w:rsidRPr="0069566B">
        <w:rPr>
          <w:lang w:eastAsia="en-AU"/>
        </w:rPr>
        <w:t>ontent commitments and undertakings specific to the contract will be incorporated into the contract as a legally binding commitment. This includes names of local sub-contractors and suppliers that will be used, employment or training targets, and other local development commitments included in a tender response. This measure addresses, for example, the situation where a local sub-contractor is included in a tender response (and assessed favourably on that basis), but is then replaced with a cheaper, interstate option after contract award.</w:t>
      </w:r>
    </w:p>
    <w:p w:rsidR="0069566B" w:rsidRPr="0069566B" w:rsidRDefault="0069566B" w:rsidP="0069566B">
      <w:pPr>
        <w:rPr>
          <w:lang w:eastAsia="en-AU"/>
        </w:rPr>
      </w:pPr>
      <w:r w:rsidRPr="0069566B">
        <w:rPr>
          <w:lang w:eastAsia="en-AU"/>
        </w:rPr>
        <w:t>NT</w:t>
      </w:r>
      <w:r>
        <w:rPr>
          <w:lang w:eastAsia="en-AU"/>
        </w:rPr>
        <w:t xml:space="preserve"> </w:t>
      </w:r>
      <w:r w:rsidRPr="0069566B">
        <w:rPr>
          <w:lang w:eastAsia="en-AU"/>
        </w:rPr>
        <w:t>G</w:t>
      </w:r>
      <w:r>
        <w:rPr>
          <w:lang w:eastAsia="en-AU"/>
        </w:rPr>
        <w:t>overnment</w:t>
      </w:r>
      <w:r w:rsidRPr="0069566B">
        <w:rPr>
          <w:lang w:eastAsia="en-AU"/>
        </w:rPr>
        <w:t xml:space="preserve"> understands that circumstances may change during the course of a contract which are genuinely unforeseen, outside a cont</w:t>
      </w:r>
      <w:r w:rsidR="0061383C">
        <w:rPr>
          <w:lang w:eastAsia="en-AU"/>
        </w:rPr>
        <w:t>ractor’s control and alter the l</w:t>
      </w:r>
      <w:r w:rsidRPr="0069566B">
        <w:rPr>
          <w:lang w:eastAsia="en-AU"/>
        </w:rPr>
        <w:t xml:space="preserve">ocal </w:t>
      </w:r>
      <w:r w:rsidR="0061383C">
        <w:rPr>
          <w:lang w:eastAsia="en-AU"/>
        </w:rPr>
        <w:t>c</w:t>
      </w:r>
      <w:r w:rsidRPr="0069566B">
        <w:rPr>
          <w:lang w:eastAsia="en-AU"/>
        </w:rPr>
        <w:t>ontent makeup of a contract. NT</w:t>
      </w:r>
      <w:r>
        <w:rPr>
          <w:lang w:eastAsia="en-AU"/>
        </w:rPr>
        <w:t xml:space="preserve"> </w:t>
      </w:r>
      <w:r w:rsidRPr="0069566B">
        <w:rPr>
          <w:lang w:eastAsia="en-AU"/>
        </w:rPr>
        <w:t>G</w:t>
      </w:r>
      <w:r>
        <w:rPr>
          <w:lang w:eastAsia="en-AU"/>
        </w:rPr>
        <w:t>overnment</w:t>
      </w:r>
      <w:r w:rsidRPr="0069566B">
        <w:rPr>
          <w:lang w:eastAsia="en-AU"/>
        </w:rPr>
        <w:t>’s approach to enforcing these clauses will therefore be pragmatic and reasonable - businesses will not be held in breach for changes outside their control, however they will be expected to advise NT</w:t>
      </w:r>
      <w:r>
        <w:rPr>
          <w:lang w:eastAsia="en-AU"/>
        </w:rPr>
        <w:t xml:space="preserve"> </w:t>
      </w:r>
      <w:r w:rsidRPr="0069566B">
        <w:rPr>
          <w:lang w:eastAsia="en-AU"/>
        </w:rPr>
        <w:t>G</w:t>
      </w:r>
      <w:r>
        <w:rPr>
          <w:lang w:eastAsia="en-AU"/>
        </w:rPr>
        <w:t>overnment</w:t>
      </w:r>
      <w:r w:rsidRPr="0069566B">
        <w:rPr>
          <w:lang w:eastAsia="en-AU"/>
        </w:rPr>
        <w:t xml:space="preserve"> of such changes, and work collaboratively </w:t>
      </w:r>
      <w:r w:rsidR="0061383C">
        <w:rPr>
          <w:lang w:eastAsia="en-AU"/>
        </w:rPr>
        <w:t>with government to ensure that l</w:t>
      </w:r>
      <w:r w:rsidRPr="0069566B">
        <w:rPr>
          <w:lang w:eastAsia="en-AU"/>
        </w:rPr>
        <w:t xml:space="preserve">ocal </w:t>
      </w:r>
      <w:r w:rsidR="0061383C">
        <w:rPr>
          <w:lang w:eastAsia="en-AU"/>
        </w:rPr>
        <w:t>c</w:t>
      </w:r>
      <w:r w:rsidRPr="0069566B">
        <w:rPr>
          <w:lang w:eastAsia="en-AU"/>
        </w:rPr>
        <w:t>ontent is maintained to optimum levels throughout the contract duration.</w:t>
      </w:r>
    </w:p>
    <w:p w:rsidR="0069566B" w:rsidRDefault="0069566B" w:rsidP="0069566B">
      <w:pPr>
        <w:jc w:val="right"/>
      </w:pPr>
      <w:r>
        <w:rPr>
          <w:noProof/>
          <w:lang w:eastAsia="en-AU"/>
        </w:rPr>
        <w:drawing>
          <wp:inline distT="0" distB="0" distL="0" distR="0">
            <wp:extent cx="2381250" cy="2400300"/>
            <wp:effectExtent l="0" t="0" r="0" b="0"/>
            <wp:docPr id="13" name="Picture 13" descr="Four sectors in a donut chart: agency planning, tendering, contract formation (highlighted), contract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our sectors in a donut chart: agency planning, tendering, contract formation (highlighted), contract manage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2400300"/>
                    </a:xfrm>
                    <a:prstGeom prst="rect">
                      <a:avLst/>
                    </a:prstGeom>
                    <a:noFill/>
                    <a:ln>
                      <a:noFill/>
                    </a:ln>
                  </pic:spPr>
                </pic:pic>
              </a:graphicData>
            </a:graphic>
          </wp:inline>
        </w:drawing>
      </w:r>
    </w:p>
    <w:p w:rsidR="0069566B" w:rsidRDefault="0069566B">
      <w:r>
        <w:br w:type="page"/>
      </w:r>
    </w:p>
    <w:p w:rsidR="0069566B" w:rsidRDefault="0069566B" w:rsidP="0069566B">
      <w:pPr>
        <w:pStyle w:val="Heading1"/>
      </w:pPr>
      <w:bookmarkStart w:id="9" w:name="_Toc514309565"/>
      <w:r>
        <w:lastRenderedPageBreak/>
        <w:t>Contract management framework</w:t>
      </w:r>
      <w:bookmarkEnd w:id="9"/>
    </w:p>
    <w:p w:rsidR="0069566B" w:rsidRDefault="0069566B" w:rsidP="0069566B">
      <w:pPr>
        <w:pStyle w:val="Highlight"/>
      </w:pPr>
      <w:r w:rsidRPr="0069566B">
        <w:t xml:space="preserve">Establishing a robust contract management framework to improve </w:t>
      </w:r>
      <w:r>
        <w:t>NT Government</w:t>
      </w:r>
      <w:r w:rsidRPr="0069566B">
        <w:t xml:space="preserve"> and supplier relationships and contractual compliance</w:t>
      </w:r>
    </w:p>
    <w:p w:rsidR="0069566B" w:rsidRPr="0069566B" w:rsidRDefault="0069566B" w:rsidP="0069566B">
      <w:pPr>
        <w:rPr>
          <w:lang w:eastAsia="en-AU"/>
        </w:rPr>
      </w:pPr>
      <w:r w:rsidRPr="0069566B">
        <w:rPr>
          <w:lang w:eastAsia="en-AU"/>
        </w:rPr>
        <w:t>Effective contract management is integral to realising the value of good planning and procurement. As such, the main focus of the Buy Local Plan in this stage is to ensure that local benefits recognised in the planning stage, sought through tender, then reflected in the contract, are subsequently delivered upon during the term of the contract.</w:t>
      </w:r>
    </w:p>
    <w:p w:rsidR="0069566B" w:rsidRPr="0069566B" w:rsidRDefault="0069566B" w:rsidP="0069566B">
      <w:pPr>
        <w:rPr>
          <w:lang w:eastAsia="en-AU"/>
        </w:rPr>
      </w:pPr>
      <w:r w:rsidRPr="0069566B">
        <w:rPr>
          <w:lang w:eastAsia="en-AU"/>
        </w:rPr>
        <w:t>Historically, contract management practices across NT</w:t>
      </w:r>
      <w:r>
        <w:rPr>
          <w:lang w:eastAsia="en-AU"/>
        </w:rPr>
        <w:t xml:space="preserve"> </w:t>
      </w:r>
      <w:r w:rsidRPr="0069566B">
        <w:rPr>
          <w:lang w:eastAsia="en-AU"/>
        </w:rPr>
        <w:t>G</w:t>
      </w:r>
      <w:r>
        <w:rPr>
          <w:lang w:eastAsia="en-AU"/>
        </w:rPr>
        <w:t>overnment</w:t>
      </w:r>
      <w:r w:rsidRPr="0069566B">
        <w:rPr>
          <w:lang w:eastAsia="en-AU"/>
        </w:rPr>
        <w:t xml:space="preserve"> have varied considerably between agencies. The Buy Local Plan is developing a standardised contract management framework, to be used as a model by agencies in their contract management activities. The purpose of a contract management framework is to provide a clear, uniform approach to managing and administering contracts for goods and services. Whilst the intent of this measure is specifically targeted at managing </w:t>
      </w:r>
      <w:r w:rsidR="0061383C">
        <w:rPr>
          <w:lang w:eastAsia="en-AU"/>
        </w:rPr>
        <w:t>l</w:t>
      </w:r>
      <w:r w:rsidRPr="0069566B">
        <w:rPr>
          <w:lang w:eastAsia="en-AU"/>
        </w:rPr>
        <w:t xml:space="preserve">ocal </w:t>
      </w:r>
      <w:r w:rsidR="0061383C">
        <w:rPr>
          <w:lang w:eastAsia="en-AU"/>
        </w:rPr>
        <w:t>c</w:t>
      </w:r>
      <w:r w:rsidRPr="0069566B">
        <w:rPr>
          <w:lang w:eastAsia="en-AU"/>
        </w:rPr>
        <w:t>ontent obligations throughout the contract term, it will also have broader impact by allowing more accurate management of other contractual obligations, and the overall relationship between government and its suppliers.</w:t>
      </w:r>
    </w:p>
    <w:p w:rsidR="0069566B" w:rsidRPr="0069566B" w:rsidRDefault="0069566B" w:rsidP="0069566B">
      <w:pPr>
        <w:rPr>
          <w:lang w:eastAsia="en-AU"/>
        </w:rPr>
      </w:pPr>
      <w:r w:rsidRPr="0069566B">
        <w:rPr>
          <w:lang w:eastAsia="en-AU"/>
        </w:rPr>
        <w:t>Any contract management framework adopted by NT Government needs to be proportionately relative to the value, complexity and significance of the contract. By taking this approach of understanding and applying contract management effort where it is most needed, efficiencies are achieved and the overall procurement contract management life cycle benefits.</w:t>
      </w:r>
    </w:p>
    <w:p w:rsidR="0069566B" w:rsidRDefault="0069566B" w:rsidP="0069566B">
      <w:pPr>
        <w:jc w:val="right"/>
      </w:pPr>
      <w:r w:rsidRPr="0069566B">
        <w:rPr>
          <w:noProof/>
          <w:lang w:eastAsia="en-AU"/>
        </w:rPr>
        <w:drawing>
          <wp:inline distT="0" distB="0" distL="0" distR="0" wp14:anchorId="06595094" wp14:editId="2B74FFC7">
            <wp:extent cx="2381250" cy="2371725"/>
            <wp:effectExtent l="0" t="0" r="0" b="9525"/>
            <wp:docPr id="3" name="Picture 3" descr="Four sectors in a donut chart: agency planning, tendering, contract formation, contract management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r sectors in a donut chart: agency planning, tendering, contract formation, contract management (highligh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0" cy="2371725"/>
                    </a:xfrm>
                    <a:prstGeom prst="rect">
                      <a:avLst/>
                    </a:prstGeom>
                    <a:noFill/>
                    <a:ln>
                      <a:noFill/>
                    </a:ln>
                  </pic:spPr>
                </pic:pic>
              </a:graphicData>
            </a:graphic>
          </wp:inline>
        </w:drawing>
      </w:r>
    </w:p>
    <w:p w:rsidR="0069566B" w:rsidRDefault="0069566B">
      <w:r>
        <w:br w:type="page"/>
      </w:r>
    </w:p>
    <w:p w:rsidR="0069566B" w:rsidRDefault="0069566B" w:rsidP="0069566B">
      <w:pPr>
        <w:pStyle w:val="Heading1"/>
      </w:pPr>
      <w:bookmarkStart w:id="10" w:name="_Toc514309566"/>
      <w:r>
        <w:lastRenderedPageBreak/>
        <w:t>Capability development</w:t>
      </w:r>
      <w:bookmarkEnd w:id="10"/>
    </w:p>
    <w:p w:rsidR="0069566B" w:rsidRDefault="0069566B" w:rsidP="003A730B">
      <w:pPr>
        <w:pStyle w:val="Highlight"/>
      </w:pPr>
      <w:r w:rsidRPr="0069566B">
        <w:t>Focusing on capability development across the end-to-end procurement and contract management lifecycle, including industry where appropriate</w:t>
      </w:r>
    </w:p>
    <w:p w:rsidR="003A730B" w:rsidRPr="003A730B" w:rsidRDefault="003A730B" w:rsidP="003A730B">
      <w:pPr>
        <w:rPr>
          <w:lang w:eastAsia="en-AU"/>
        </w:rPr>
      </w:pPr>
      <w:r w:rsidRPr="003A730B">
        <w:rPr>
          <w:lang w:eastAsia="en-AU"/>
        </w:rPr>
        <w:t>Capability underpins good procurement and contract manag</w:t>
      </w:r>
      <w:r>
        <w:rPr>
          <w:lang w:eastAsia="en-AU"/>
        </w:rPr>
        <w:t>ement, both</w:t>
      </w:r>
      <w:r w:rsidR="0061383C">
        <w:rPr>
          <w:lang w:eastAsia="en-AU"/>
        </w:rPr>
        <w:t xml:space="preserve"> in general and for l</w:t>
      </w:r>
      <w:r w:rsidRPr="003A730B">
        <w:rPr>
          <w:lang w:eastAsia="en-AU"/>
        </w:rPr>
        <w:t xml:space="preserve">ocal </w:t>
      </w:r>
      <w:r w:rsidR="0061383C">
        <w:rPr>
          <w:lang w:eastAsia="en-AU"/>
        </w:rPr>
        <w:t>co</w:t>
      </w:r>
      <w:r w:rsidRPr="003A730B">
        <w:rPr>
          <w:lang w:eastAsia="en-AU"/>
        </w:rPr>
        <w:t xml:space="preserve">ntent considerations especially. The various stage-specific measures in the Buy Local Plan are supplemented by an overarching focus on capability development, to ensure that the changes to policy </w:t>
      </w:r>
      <w:r>
        <w:rPr>
          <w:lang w:eastAsia="en-AU"/>
        </w:rPr>
        <w:t>and practice introduced by the p</w:t>
      </w:r>
      <w:r w:rsidRPr="003A730B">
        <w:rPr>
          <w:lang w:eastAsia="en-AU"/>
        </w:rPr>
        <w:t>lan are entrenched and NT</w:t>
      </w:r>
      <w:r>
        <w:rPr>
          <w:lang w:eastAsia="en-AU"/>
        </w:rPr>
        <w:t xml:space="preserve"> </w:t>
      </w:r>
      <w:r w:rsidRPr="003A730B">
        <w:rPr>
          <w:lang w:eastAsia="en-AU"/>
        </w:rPr>
        <w:t>G</w:t>
      </w:r>
      <w:r>
        <w:rPr>
          <w:lang w:eastAsia="en-AU"/>
        </w:rPr>
        <w:t>overnment</w:t>
      </w:r>
      <w:r w:rsidRPr="003A730B">
        <w:rPr>
          <w:lang w:eastAsia="en-AU"/>
        </w:rPr>
        <w:t xml:space="preserve"> continues its ongoing program of professionalising its procurement capability. This includes:</w:t>
      </w:r>
    </w:p>
    <w:p w:rsidR="003A730B" w:rsidRPr="003A730B" w:rsidRDefault="003A730B" w:rsidP="003A730B">
      <w:pPr>
        <w:pStyle w:val="ListParagraph"/>
        <w:numPr>
          <w:ilvl w:val="0"/>
          <w:numId w:val="29"/>
        </w:numPr>
        <w:rPr>
          <w:rFonts w:eastAsia="Times New Roman"/>
          <w:lang w:eastAsia="en-AU"/>
        </w:rPr>
      </w:pPr>
      <w:r>
        <w:rPr>
          <w:rFonts w:eastAsia="Times New Roman"/>
          <w:lang w:eastAsia="en-AU"/>
        </w:rPr>
        <w:t>d</w:t>
      </w:r>
      <w:r w:rsidRPr="003A730B">
        <w:rPr>
          <w:rFonts w:eastAsia="Times New Roman"/>
          <w:lang w:eastAsia="en-AU"/>
        </w:rPr>
        <w:t>eveloping a whole-of-government procurement capability strategy, to identify capability requirements across agencies and determine an up-skilling approach.</w:t>
      </w:r>
    </w:p>
    <w:p w:rsidR="003A730B" w:rsidRPr="003A730B" w:rsidRDefault="003A730B" w:rsidP="003A730B">
      <w:pPr>
        <w:pStyle w:val="ListParagraph"/>
        <w:numPr>
          <w:ilvl w:val="0"/>
          <w:numId w:val="29"/>
        </w:numPr>
        <w:rPr>
          <w:rFonts w:eastAsia="Times New Roman"/>
          <w:lang w:eastAsia="en-AU"/>
        </w:rPr>
      </w:pPr>
      <w:r>
        <w:rPr>
          <w:rFonts w:eastAsia="Times New Roman"/>
          <w:lang w:eastAsia="en-AU"/>
        </w:rPr>
        <w:t>c</w:t>
      </w:r>
      <w:r w:rsidRPr="003A730B">
        <w:rPr>
          <w:rFonts w:eastAsia="Times New Roman"/>
          <w:lang w:eastAsia="en-AU"/>
        </w:rPr>
        <w:t>lear delineation of roles and accountabilities by all those involved in the procurement process.</w:t>
      </w:r>
    </w:p>
    <w:p w:rsidR="003A730B" w:rsidRPr="003A730B" w:rsidRDefault="003A730B" w:rsidP="003A730B">
      <w:pPr>
        <w:pStyle w:val="ListParagraph"/>
        <w:numPr>
          <w:ilvl w:val="0"/>
          <w:numId w:val="29"/>
        </w:numPr>
        <w:rPr>
          <w:rFonts w:eastAsia="Times New Roman"/>
          <w:lang w:eastAsia="en-AU"/>
        </w:rPr>
      </w:pPr>
      <w:r>
        <w:rPr>
          <w:rFonts w:eastAsia="Times New Roman"/>
          <w:lang w:eastAsia="en-AU"/>
        </w:rPr>
        <w:t>f</w:t>
      </w:r>
      <w:r w:rsidRPr="003A730B">
        <w:rPr>
          <w:rFonts w:eastAsia="Times New Roman"/>
          <w:lang w:eastAsia="en-AU"/>
        </w:rPr>
        <w:t>ocused training for procurement practitioners on key areas along the procurement and contract management lifecycle that influence local benefit outcomes.</w:t>
      </w:r>
    </w:p>
    <w:p w:rsidR="003A730B" w:rsidRPr="003A730B" w:rsidRDefault="003A730B" w:rsidP="003A730B">
      <w:pPr>
        <w:rPr>
          <w:lang w:eastAsia="en-AU"/>
        </w:rPr>
      </w:pPr>
      <w:r w:rsidRPr="003A730B">
        <w:rPr>
          <w:lang w:eastAsia="en-AU"/>
        </w:rPr>
        <w:t xml:space="preserve">The </w:t>
      </w:r>
      <w:r>
        <w:rPr>
          <w:lang w:eastAsia="en-AU"/>
        </w:rPr>
        <w:t>p</w:t>
      </w:r>
      <w:r w:rsidRPr="003A730B">
        <w:rPr>
          <w:lang w:eastAsia="en-AU"/>
        </w:rPr>
        <w:t>lan also includes measures to improve industry knowledge and capability in tendering to NT</w:t>
      </w:r>
      <w:r>
        <w:rPr>
          <w:lang w:eastAsia="en-AU"/>
        </w:rPr>
        <w:t> </w:t>
      </w:r>
      <w:r w:rsidRPr="003A730B">
        <w:rPr>
          <w:lang w:eastAsia="en-AU"/>
        </w:rPr>
        <w:t>G</w:t>
      </w:r>
      <w:r>
        <w:rPr>
          <w:lang w:eastAsia="en-AU"/>
        </w:rPr>
        <w:t>overnment</w:t>
      </w:r>
      <w:r w:rsidRPr="003A730B">
        <w:rPr>
          <w:lang w:eastAsia="en-AU"/>
        </w:rPr>
        <w:t>, and speci</w:t>
      </w:r>
      <w:r w:rsidR="0061383C">
        <w:rPr>
          <w:lang w:eastAsia="en-AU"/>
        </w:rPr>
        <w:t>fically in demonstrating their l</w:t>
      </w:r>
      <w:r w:rsidRPr="003A730B">
        <w:rPr>
          <w:lang w:eastAsia="en-AU"/>
        </w:rPr>
        <w:t xml:space="preserve">ocal </w:t>
      </w:r>
      <w:r w:rsidR="0061383C">
        <w:rPr>
          <w:lang w:eastAsia="en-AU"/>
        </w:rPr>
        <w:t>c</w:t>
      </w:r>
      <w:r w:rsidRPr="003A730B">
        <w:rPr>
          <w:lang w:eastAsia="en-AU"/>
        </w:rPr>
        <w:t xml:space="preserve">ontent and local benefits. The </w:t>
      </w:r>
      <w:r>
        <w:rPr>
          <w:lang w:eastAsia="en-AU"/>
        </w:rPr>
        <w:t>p</w:t>
      </w:r>
      <w:r w:rsidRPr="003A730B">
        <w:rPr>
          <w:lang w:eastAsia="en-AU"/>
        </w:rPr>
        <w:t>lan will target industry through a variety of avenues, such as roadshows and through the </w:t>
      </w:r>
      <w:hyperlink r:id="rId20" w:history="1">
        <w:r w:rsidRPr="003A730B">
          <w:rPr>
            <w:rStyle w:val="Hyperlink"/>
          </w:rPr>
          <w:t>How To tender Upskills workshop</w:t>
        </w:r>
      </w:hyperlink>
      <w:r>
        <w:rPr>
          <w:rStyle w:val="FootnoteReference"/>
        </w:rPr>
        <w:footnoteReference w:id="2"/>
      </w:r>
      <w:r w:rsidRPr="003A730B">
        <w:t> </w:t>
      </w:r>
      <w:r w:rsidRPr="003A730B">
        <w:rPr>
          <w:lang w:eastAsia="en-AU"/>
        </w:rPr>
        <w:t>run by Business and Innovation NT.</w:t>
      </w:r>
    </w:p>
    <w:p w:rsidR="003A730B" w:rsidRDefault="003A730B" w:rsidP="003A730B">
      <w:pPr>
        <w:jc w:val="right"/>
      </w:pPr>
      <w:r w:rsidRPr="003A730B">
        <w:rPr>
          <w:noProof/>
          <w:lang w:eastAsia="en-AU"/>
        </w:rPr>
        <w:drawing>
          <wp:inline distT="0" distB="0" distL="0" distR="0" wp14:anchorId="07AFFE0B" wp14:editId="05B1A279">
            <wp:extent cx="2381250" cy="2400300"/>
            <wp:effectExtent l="0" t="0" r="0" b="0"/>
            <wp:docPr id="16" name="Picture 16" descr="Four sectors in a donut chart: agency planning, tendering, contract formation, contract 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ur sectors in a donut chart: agency planning, tendering, contract formation, contract manag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2400300"/>
                    </a:xfrm>
                    <a:prstGeom prst="rect">
                      <a:avLst/>
                    </a:prstGeom>
                    <a:noFill/>
                    <a:ln>
                      <a:noFill/>
                    </a:ln>
                  </pic:spPr>
                </pic:pic>
              </a:graphicData>
            </a:graphic>
          </wp:inline>
        </w:drawing>
      </w:r>
    </w:p>
    <w:p w:rsidR="003A730B" w:rsidRPr="003A730B" w:rsidRDefault="003A730B" w:rsidP="003A730B"/>
    <w:sectPr w:rsidR="003A730B" w:rsidRPr="003A730B" w:rsidSect="00C756B9">
      <w:headerReference w:type="default" r:id="rId21"/>
      <w:headerReference w:type="first" r:id="rId22"/>
      <w:footerReference w:type="first" r:id="rId23"/>
      <w:pgSz w:w="11906" w:h="16838" w:code="9"/>
      <w:pgMar w:top="1134"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905" w:rsidRDefault="008E4905" w:rsidP="00293A72">
      <w:r>
        <w:separator/>
      </w:r>
    </w:p>
  </w:endnote>
  <w:endnote w:type="continuationSeparator" w:id="0">
    <w:p w:rsidR="008E4905" w:rsidRDefault="008E4905"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3C" w:rsidRPr="009A7587" w:rsidRDefault="008E4905" w:rsidP="00434174">
    <w:pPr>
      <w:tabs>
        <w:tab w:val="right" w:pos="10206"/>
      </w:tabs>
      <w:spacing w:after="120"/>
      <w:ind w:left="-567" w:right="-568"/>
      <w:rPr>
        <w:sz w:val="16"/>
        <w:szCs w:val="16"/>
      </w:rPr>
    </w:pPr>
    <w:r>
      <w:pict>
        <v:rect id="_x0000_i1025" style="width:481.9pt;height:.5pt" o:hralign="center" o:hrstd="t" o:hrnoshade="t" o:hr="t" fillcolor="black [3213]" stroked="f"/>
      </w:pict>
    </w:r>
  </w:p>
  <w:p w:rsidR="0061383C" w:rsidRPr="009568B9" w:rsidRDefault="0061383C" w:rsidP="00652E1F">
    <w:pPr>
      <w:pStyle w:val="NTGFooterDepartmentandPagenumber"/>
      <w:tabs>
        <w:tab w:val="clear" w:pos="9026"/>
        <w:tab w:val="right" w:pos="10206"/>
      </w:tabs>
      <w:ind w:left="-567" w:right="-568"/>
    </w:pPr>
    <w:r w:rsidRPr="009568B9">
      <w:rPr>
        <w:rStyle w:val="NTGFooterDepartmentofChar"/>
      </w:rPr>
      <w:fldChar w:fldCharType="begin"/>
    </w:r>
    <w:r w:rsidRPr="009568B9">
      <w:rPr>
        <w:rStyle w:val="NTGFooterDepartmentofChar"/>
      </w:rPr>
      <w:instrText xml:space="preserve"> DOCPROPERTY  DepartmentOf  \* MERGEFORMAT </w:instrText>
    </w:r>
    <w:r w:rsidRPr="009568B9">
      <w:rPr>
        <w:rStyle w:val="NTGFooterDepartmentofChar"/>
      </w:rPr>
      <w:fldChar w:fldCharType="separate"/>
    </w:r>
    <w:r>
      <w:rPr>
        <w:rStyle w:val="NTGFooterDepartmentofChar"/>
      </w:rPr>
      <w:t xml:space="preserve">Department of </w:t>
    </w:r>
    <w:r w:rsidRPr="009568B9">
      <w:rPr>
        <w:rStyle w:val="NTGFooterDepartmentofChar"/>
      </w:rPr>
      <w:fldChar w:fldCharType="end"/>
    </w:r>
    <w:r w:rsidRPr="009568B9">
      <w:rPr>
        <w:rStyle w:val="NTGFooterDepartmentNameChar"/>
      </w:rPr>
      <w:fldChar w:fldCharType="begin"/>
    </w:r>
    <w:r w:rsidRPr="009568B9">
      <w:rPr>
        <w:rStyle w:val="NTGFooterDepartmentNameChar"/>
      </w:rPr>
      <w:instrText xml:space="preserve"> DOCPROPERTY  DepartmentName  \* MERGEFORMAT </w:instrText>
    </w:r>
    <w:r w:rsidRPr="009568B9">
      <w:rPr>
        <w:rStyle w:val="NTGFooterDepartmentNameChar"/>
      </w:rPr>
      <w:fldChar w:fldCharType="separate"/>
    </w:r>
    <w:r>
      <w:rPr>
        <w:rStyle w:val="NTGFooterDepartmentNameChar"/>
      </w:rPr>
      <w:t>Trade, Business and Innovation</w:t>
    </w:r>
    <w:r w:rsidRPr="009568B9">
      <w:rPr>
        <w:rStyle w:val="NTGFooterDepartmentNameChar"/>
      </w:rPr>
      <w:fldChar w:fldCharType="end"/>
    </w:r>
    <w:r w:rsidRPr="009568B9">
      <w:tab/>
      <w:t xml:space="preserve">Page </w:t>
    </w:r>
    <w:r w:rsidRPr="009568B9">
      <w:fldChar w:fldCharType="begin"/>
    </w:r>
    <w:r w:rsidRPr="009568B9">
      <w:instrText xml:space="preserve"> PAGE  \* Arabic  \* MERGEFORMAT </w:instrText>
    </w:r>
    <w:r w:rsidRPr="009568B9">
      <w:fldChar w:fldCharType="separate"/>
    </w:r>
    <w:r w:rsidR="000E109D">
      <w:rPr>
        <w:noProof/>
      </w:rPr>
      <w:t>13</w:t>
    </w:r>
    <w:r w:rsidRPr="009568B9">
      <w:fldChar w:fldCharType="end"/>
    </w:r>
    <w:r w:rsidRPr="009568B9">
      <w:t xml:space="preserve"> of </w:t>
    </w:r>
    <w:fldSimple w:instr=" NUMPAGES  \* Arabic  \* MERGEFORMAT ">
      <w:r w:rsidR="000E109D">
        <w:rPr>
          <w:noProof/>
        </w:rPr>
        <w:t>13</w:t>
      </w:r>
    </w:fldSimple>
  </w:p>
  <w:p w:rsidR="0061383C" w:rsidRPr="009568B9" w:rsidRDefault="00BA32A1" w:rsidP="00434174">
    <w:pPr>
      <w:pStyle w:val="NTGFooterDateVersion"/>
      <w:ind w:left="-567"/>
    </w:pPr>
    <w:fldSimple w:instr=" DOCPROPERTY  DocumentDate  \* MERGEFORMAT ">
      <w:r w:rsidR="0061383C">
        <w:t>6 April 2018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61383C" w:rsidRPr="002C6633" w:rsidTr="00B61936">
      <w:trPr>
        <w:cantSplit/>
        <w:trHeight w:hRule="exact" w:val="1400"/>
        <w:tblHeader/>
      </w:trPr>
      <w:tc>
        <w:tcPr>
          <w:tcW w:w="8505" w:type="dxa"/>
          <w:vAlign w:val="center"/>
        </w:tcPr>
        <w:p w:rsidR="0061383C" w:rsidRPr="002C6633" w:rsidRDefault="0061383C" w:rsidP="00B61936">
          <w:pPr>
            <w:pStyle w:val="Footer"/>
            <w:spacing w:before="280"/>
            <w:ind w:right="0"/>
          </w:pPr>
          <w:r>
            <w:rPr>
              <w:rStyle w:val="NTGFooterDepartmentofChar"/>
            </w:rPr>
            <w:fldChar w:fldCharType="begin"/>
          </w:r>
          <w:r>
            <w:rPr>
              <w:rStyle w:val="NTGFooterDepartmentofChar"/>
            </w:rPr>
            <w:instrText xml:space="preserve"> DOCPROPERTY  DepartmentOf  \* MERGEFORMAT </w:instrText>
          </w:r>
          <w:r>
            <w:rPr>
              <w:rStyle w:val="NTGFooterDepartmentofChar"/>
            </w:rPr>
            <w:fldChar w:fldCharType="separate"/>
          </w:r>
          <w:r>
            <w:rPr>
              <w:rStyle w:val="NTGFooterDepartmentofChar"/>
            </w:rPr>
            <w:t xml:space="preserve">Department of </w:t>
          </w:r>
          <w:r>
            <w:rPr>
              <w:rStyle w:val="NTGFooterDepartmentofChar"/>
            </w:rPr>
            <w:fldChar w:fldCharType="end"/>
          </w:r>
          <w:r>
            <w:rPr>
              <w:rStyle w:val="NTGFooterDepartmentNameChar"/>
            </w:rPr>
            <w:fldChar w:fldCharType="begin"/>
          </w:r>
          <w:r>
            <w:rPr>
              <w:rStyle w:val="NTGFooterDepartmentNameChar"/>
            </w:rPr>
            <w:instrText xml:space="preserve"> DOCPROPERTY  DepartmentName  \* MERGEFORMAT </w:instrText>
          </w:r>
          <w:r>
            <w:rPr>
              <w:rStyle w:val="NTGFooterDepartmentNameChar"/>
            </w:rPr>
            <w:fldChar w:fldCharType="separate"/>
          </w:r>
          <w:r>
            <w:rPr>
              <w:rStyle w:val="NTGFooterDepartmentNameChar"/>
            </w:rPr>
            <w:t>Trade, Business and Innovation</w:t>
          </w:r>
          <w:r>
            <w:rPr>
              <w:rStyle w:val="NTGFooterDepartmentNameChar"/>
            </w:rPr>
            <w:fldChar w:fldCharType="end"/>
          </w:r>
          <w:r w:rsidRPr="002C6633">
            <w:br/>
          </w:r>
        </w:p>
      </w:tc>
      <w:tc>
        <w:tcPr>
          <w:tcW w:w="2268" w:type="dxa"/>
          <w:vAlign w:val="center"/>
        </w:tcPr>
        <w:p w:rsidR="0061383C" w:rsidRPr="002C6633" w:rsidRDefault="0061383C" w:rsidP="00B61936">
          <w:pPr>
            <w:spacing w:after="0" w:line="252" w:lineRule="auto"/>
            <w:ind w:left="4"/>
            <w:jc w:val="right"/>
            <w:rPr>
              <w:rFonts w:cs="Arial"/>
              <w:sz w:val="20"/>
            </w:rPr>
          </w:pPr>
          <w:r w:rsidRPr="002C6633">
            <w:rPr>
              <w:rFonts w:cs="Arial"/>
              <w:noProof/>
              <w:sz w:val="20"/>
              <w:lang w:eastAsia="en-AU"/>
            </w:rPr>
            <w:drawing>
              <wp:inline distT="0" distB="0" distL="0" distR="0" wp14:anchorId="7A431316" wp14:editId="7A401CF0">
                <wp:extent cx="1347470" cy="481330"/>
                <wp:effectExtent l="0" t="0" r="5080" b="0"/>
                <wp:docPr id="12" name="Picture 1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rsidR="0061383C" w:rsidRPr="002C6633" w:rsidRDefault="0061383C" w:rsidP="00410CF8">
    <w:pPr>
      <w:pStyle w:val="Footer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3C" w:rsidRPr="00F6368A" w:rsidRDefault="0061383C" w:rsidP="00A24C50">
    <w:pPr>
      <w:pStyle w:val="Footer"/>
    </w:pPr>
  </w:p>
  <w:p w:rsidR="0061383C" w:rsidRPr="00F6368A" w:rsidRDefault="0061383C" w:rsidP="009616DF">
    <w:pPr>
      <w:tabs>
        <w:tab w:val="right" w:pos="9639"/>
        <w:tab w:val="right" w:pos="14459"/>
      </w:tabs>
      <w:ind w:left="-709" w:right="-341"/>
      <w:rPr>
        <w:rFonts w:cs="Arial"/>
      </w:rPr>
    </w:pPr>
    <w:r w:rsidRPr="00F6368A">
      <w:rPr>
        <w:rFonts w:cs="Arial"/>
      </w:rPr>
      <w:t xml:space="preserve">DEPARTMENT OF </w:t>
    </w:r>
    <w:r>
      <w:rPr>
        <w:rFonts w:cs="Arial"/>
        <w:b/>
      </w:rPr>
      <w:t>BUSINESS AND EMPLOYMENT</w:t>
    </w:r>
    <w:r>
      <w:rPr>
        <w:rFonts w:cs="Arial"/>
        <w:b/>
      </w:rPr>
      <w:tab/>
    </w:r>
    <w:r w:rsidRPr="00F6368A">
      <w:rPr>
        <w:rStyle w:val="PageNumber"/>
        <w:rFonts w:cs="Arial"/>
      </w:rPr>
      <w:fldChar w:fldCharType="begin"/>
    </w:r>
    <w:r w:rsidRPr="00F6368A">
      <w:rPr>
        <w:rStyle w:val="PageNumber"/>
        <w:rFonts w:cs="Arial"/>
      </w:rPr>
      <w:instrText xml:space="preserve"> PAGE </w:instrText>
    </w:r>
    <w:r w:rsidRPr="00F6368A">
      <w:rPr>
        <w:rStyle w:val="PageNumber"/>
        <w:rFonts w:cs="Arial"/>
      </w:rPr>
      <w:fldChar w:fldCharType="separate"/>
    </w:r>
    <w:r>
      <w:rPr>
        <w:rStyle w:val="PageNumber"/>
        <w:rFonts w:cs="Arial"/>
        <w:noProof/>
      </w:rPr>
      <w:t>4</w:t>
    </w:r>
    <w:r w:rsidRPr="00F6368A">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905" w:rsidRDefault="008E4905" w:rsidP="00293A72">
      <w:r>
        <w:separator/>
      </w:r>
    </w:p>
  </w:footnote>
  <w:footnote w:type="continuationSeparator" w:id="0">
    <w:p w:rsidR="008E4905" w:rsidRDefault="008E4905" w:rsidP="00293A72">
      <w:r>
        <w:continuationSeparator/>
      </w:r>
    </w:p>
  </w:footnote>
  <w:footnote w:type="continuationNotice" w:id="1">
    <w:p w:rsidR="008E4905" w:rsidRPr="00FB5692" w:rsidRDefault="008E4905" w:rsidP="00FB5692">
      <w:pPr>
        <w:pStyle w:val="Footer"/>
      </w:pPr>
    </w:p>
  </w:footnote>
  <w:footnote w:id="2">
    <w:p w:rsidR="0061383C" w:rsidRDefault="0061383C">
      <w:pPr>
        <w:pStyle w:val="FootnoteText"/>
      </w:pPr>
      <w:r>
        <w:rPr>
          <w:rStyle w:val="FootnoteReference"/>
        </w:rPr>
        <w:footnoteRef/>
      </w:r>
      <w:r>
        <w:t xml:space="preserve"> </w:t>
      </w:r>
      <w:r w:rsidRPr="003A730B">
        <w:t>https://nt.gov.au/industry/start-run-and-grow-a-business/workshops-to-grow-your-business/finance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3C" w:rsidRDefault="0061383C" w:rsidP="007D55DF">
    <w:pPr>
      <w:pStyle w:val="Header"/>
      <w:tabs>
        <w:tab w:val="clear" w:pos="9026"/>
        <w:tab w:val="right" w:pos="10206"/>
      </w:tabs>
    </w:pPr>
    <w:r>
      <w:t>Document control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3C" w:rsidRDefault="0061383C" w:rsidP="009616DF">
    <w:pPr>
      <w:ind w:left="-70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3C" w:rsidRDefault="0061383C" w:rsidP="00652E1F">
    <w:pPr>
      <w:pStyle w:val="Header"/>
      <w:tabs>
        <w:tab w:val="clear" w:pos="9026"/>
        <w:tab w:val="right" w:pos="10206"/>
      </w:tabs>
      <w:ind w:right="-568"/>
    </w:pPr>
    <w:r>
      <w:t>Table of contents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3C" w:rsidRPr="00274F1C" w:rsidRDefault="0061383C" w:rsidP="009568B9">
    <w:pPr>
      <w:pStyle w:val="Header"/>
      <w:tabs>
        <w:tab w:val="clear" w:pos="4513"/>
        <w:tab w:val="clear" w:pos="9026"/>
      </w:tabs>
      <w:ind w:right="-568"/>
    </w:pPr>
    <w:r w:rsidRPr="00274F1C">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3C" w:rsidRPr="00274F1C" w:rsidRDefault="00BA32A1" w:rsidP="009568B9">
    <w:pPr>
      <w:pStyle w:val="Header"/>
      <w:tabs>
        <w:tab w:val="clear" w:pos="4513"/>
        <w:tab w:val="clear" w:pos="9026"/>
      </w:tabs>
      <w:ind w:right="-568"/>
    </w:pPr>
    <w:fldSimple w:instr=" TITLE   \* MERGEFORMAT ">
      <w:r w:rsidR="0061383C">
        <w:t>Buy Local Plan</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3C" w:rsidRPr="00861DC3" w:rsidRDefault="0061383C" w:rsidP="00354E47">
    <w:pPr>
      <w:pStyle w:val="Header"/>
      <w:tabs>
        <w:tab w:val="clear" w:pos="4513"/>
        <w:tab w:val="clear" w:pos="9026"/>
      </w:tabs>
      <w:ind w:right="-285"/>
    </w:pPr>
    <w:r>
      <w:t>Policy</w:t>
    </w:r>
    <w:r w:rsidRPr="00861DC3">
      <w:t xml:space="preserve"> Name</w:t>
    </w:r>
  </w:p>
  <w:p w:rsidR="0061383C" w:rsidRDefault="0061383C" w:rsidP="00354E47"/>
  <w:p w:rsidR="0061383C" w:rsidRDefault="0061383C" w:rsidP="00354E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4C9"/>
    <w:multiLevelType w:val="hybridMultilevel"/>
    <w:tmpl w:val="6226B0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0F0990"/>
    <w:multiLevelType w:val="multilevel"/>
    <w:tmpl w:val="0C78A7AC"/>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15:restartNumberingAfterBreak="0">
    <w:nsid w:val="03576140"/>
    <w:multiLevelType w:val="hybridMultilevel"/>
    <w:tmpl w:val="57025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5F0EC2"/>
    <w:multiLevelType w:val="multilevel"/>
    <w:tmpl w:val="D740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62F4F"/>
    <w:multiLevelType w:val="hybridMultilevel"/>
    <w:tmpl w:val="2DECF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B2044E"/>
    <w:multiLevelType w:val="hybridMultilevel"/>
    <w:tmpl w:val="AFC49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CA3D7E"/>
    <w:multiLevelType w:val="multilevel"/>
    <w:tmpl w:val="A3E2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C55E97"/>
    <w:multiLevelType w:val="multilevel"/>
    <w:tmpl w:val="BD7A8414"/>
    <w:name w:val="NTG Table Bullet List332222222222222222"/>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EC05BA8"/>
    <w:multiLevelType w:val="hybridMultilevel"/>
    <w:tmpl w:val="29142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791B41"/>
    <w:multiLevelType w:val="multilevel"/>
    <w:tmpl w:val="0C78A7AC"/>
    <w:numStyleLink w:val="NTGTableList"/>
  </w:abstractNum>
  <w:abstractNum w:abstractNumId="10" w15:restartNumberingAfterBreak="0">
    <w:nsid w:val="20EB004D"/>
    <w:multiLevelType w:val="multilevel"/>
    <w:tmpl w:val="95C2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2" w15:restartNumberingAfterBreak="0">
    <w:nsid w:val="29654190"/>
    <w:multiLevelType w:val="hybridMultilevel"/>
    <w:tmpl w:val="02B41328"/>
    <w:lvl w:ilvl="0" w:tplc="4B300172">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D11322"/>
    <w:multiLevelType w:val="multilevel"/>
    <w:tmpl w:val="71A0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D0542"/>
    <w:multiLevelType w:val="multilevel"/>
    <w:tmpl w:val="BD7A8414"/>
    <w:numStyleLink w:val="NTGStandardList"/>
  </w:abstractNum>
  <w:abstractNum w:abstractNumId="15" w15:restartNumberingAfterBreak="0">
    <w:nsid w:val="33AC0BD5"/>
    <w:multiLevelType w:val="multilevel"/>
    <w:tmpl w:val="39746A98"/>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6" w15:restartNumberingAfterBreak="0">
    <w:nsid w:val="3CA01140"/>
    <w:multiLevelType w:val="hybridMultilevel"/>
    <w:tmpl w:val="E06AE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9455EA"/>
    <w:multiLevelType w:val="hybridMultilevel"/>
    <w:tmpl w:val="539E4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6F70CC"/>
    <w:multiLevelType w:val="multilevel"/>
    <w:tmpl w:val="39746A98"/>
    <w:numStyleLink w:val="NTGTableNumList"/>
  </w:abstractNum>
  <w:abstractNum w:abstractNumId="19" w15:restartNumberingAfterBreak="0">
    <w:nsid w:val="49C67A21"/>
    <w:multiLevelType w:val="multilevel"/>
    <w:tmpl w:val="A3FA280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4D90555D"/>
    <w:multiLevelType w:val="multilevel"/>
    <w:tmpl w:val="4E6AC8F6"/>
    <w:styleLink w:val="NTGStandardNumList"/>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4FA9443E"/>
    <w:multiLevelType w:val="multilevel"/>
    <w:tmpl w:val="4E6AC8F6"/>
    <w:numStyleLink w:val="NTGStandardNumList"/>
  </w:abstractNum>
  <w:abstractNum w:abstractNumId="22" w15:restartNumberingAfterBreak="0">
    <w:nsid w:val="69163B19"/>
    <w:multiLevelType w:val="multilevel"/>
    <w:tmpl w:val="4E6AC8F6"/>
    <w:numStyleLink w:val="NTGStandardNumList"/>
  </w:abstractNum>
  <w:abstractNum w:abstractNumId="23" w15:restartNumberingAfterBreak="0">
    <w:nsid w:val="6A632F1B"/>
    <w:multiLevelType w:val="multilevel"/>
    <w:tmpl w:val="4E6AC8F6"/>
    <w:numStyleLink w:val="NTGStandardNumList"/>
  </w:abstractNum>
  <w:abstractNum w:abstractNumId="24" w15:restartNumberingAfterBreak="0">
    <w:nsid w:val="6CC20ACB"/>
    <w:multiLevelType w:val="hybridMultilevel"/>
    <w:tmpl w:val="6C78B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D4469C"/>
    <w:multiLevelType w:val="hybridMultilevel"/>
    <w:tmpl w:val="15B4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CC6470"/>
    <w:multiLevelType w:val="multilevel"/>
    <w:tmpl w:val="B386C482"/>
    <w:lvl w:ilvl="0">
      <w:start w:val="1"/>
      <w:numFmt w:val="decimal"/>
      <w:lvlText w:val="%1"/>
      <w:lvlJc w:val="left"/>
      <w:pPr>
        <w:ind w:left="432" w:hanging="432"/>
      </w:pPr>
      <w:rPr>
        <w:rFonts w:hint="default"/>
        <w:b/>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D5F7B73"/>
    <w:multiLevelType w:val="hybridMultilevel"/>
    <w:tmpl w:val="887A1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
  </w:num>
  <w:num w:numId="9">
    <w:abstractNumId w:val="15"/>
  </w:num>
  <w:num w:numId="10">
    <w:abstractNumId w:val="18"/>
  </w:num>
  <w:num w:numId="11">
    <w:abstractNumId w:val="14"/>
  </w:num>
  <w:num w:numId="12">
    <w:abstractNumId w:val="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4"/>
  </w:num>
  <w:num w:numId="16">
    <w:abstractNumId w:val="0"/>
  </w:num>
  <w:num w:numId="17">
    <w:abstractNumId w:val="4"/>
  </w:num>
  <w:num w:numId="18">
    <w:abstractNumId w:val="2"/>
  </w:num>
  <w:num w:numId="19">
    <w:abstractNumId w:val="12"/>
  </w:num>
  <w:num w:numId="20">
    <w:abstractNumId w:val="25"/>
  </w:num>
  <w:num w:numId="21">
    <w:abstractNumId w:val="16"/>
  </w:num>
  <w:num w:numId="22">
    <w:abstractNumId w:val="13"/>
  </w:num>
  <w:num w:numId="23">
    <w:abstractNumId w:val="8"/>
  </w:num>
  <w:num w:numId="24">
    <w:abstractNumId w:val="3"/>
  </w:num>
  <w:num w:numId="25">
    <w:abstractNumId w:val="17"/>
  </w:num>
  <w:num w:numId="26">
    <w:abstractNumId w:val="10"/>
  </w:num>
  <w:num w:numId="27">
    <w:abstractNumId w:val="27"/>
  </w:num>
  <w:num w:numId="28">
    <w:abstractNumId w:val="6"/>
  </w:num>
  <w:num w:numId="2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4EE"/>
    <w:rsid w:val="00002558"/>
    <w:rsid w:val="000102B4"/>
    <w:rsid w:val="00010839"/>
    <w:rsid w:val="00010B68"/>
    <w:rsid w:val="0001749F"/>
    <w:rsid w:val="00020249"/>
    <w:rsid w:val="00021422"/>
    <w:rsid w:val="00027D9F"/>
    <w:rsid w:val="00030C95"/>
    <w:rsid w:val="00031544"/>
    <w:rsid w:val="00031593"/>
    <w:rsid w:val="00043E30"/>
    <w:rsid w:val="000442F8"/>
    <w:rsid w:val="0005581E"/>
    <w:rsid w:val="000579A7"/>
    <w:rsid w:val="00064E03"/>
    <w:rsid w:val="000659AD"/>
    <w:rsid w:val="00067F54"/>
    <w:rsid w:val="0007076E"/>
    <w:rsid w:val="00071D36"/>
    <w:rsid w:val="0007259C"/>
    <w:rsid w:val="000768FB"/>
    <w:rsid w:val="000869B5"/>
    <w:rsid w:val="000A0C61"/>
    <w:rsid w:val="000A55BC"/>
    <w:rsid w:val="000B1DFF"/>
    <w:rsid w:val="000B580E"/>
    <w:rsid w:val="000C21B3"/>
    <w:rsid w:val="000D601D"/>
    <w:rsid w:val="000D6D9E"/>
    <w:rsid w:val="000E109D"/>
    <w:rsid w:val="000E3A0B"/>
    <w:rsid w:val="000E4DA4"/>
    <w:rsid w:val="000E538B"/>
    <w:rsid w:val="000E64AE"/>
    <w:rsid w:val="000E651C"/>
    <w:rsid w:val="000E749B"/>
    <w:rsid w:val="000F0145"/>
    <w:rsid w:val="000F1CDB"/>
    <w:rsid w:val="0010364F"/>
    <w:rsid w:val="00107717"/>
    <w:rsid w:val="001131C9"/>
    <w:rsid w:val="00117743"/>
    <w:rsid w:val="00117F5B"/>
    <w:rsid w:val="00122FDD"/>
    <w:rsid w:val="00126ADB"/>
    <w:rsid w:val="00126E8C"/>
    <w:rsid w:val="001324D8"/>
    <w:rsid w:val="0013540A"/>
    <w:rsid w:val="00146905"/>
    <w:rsid w:val="00150B00"/>
    <w:rsid w:val="001517D8"/>
    <w:rsid w:val="001621A8"/>
    <w:rsid w:val="001636FF"/>
    <w:rsid w:val="001638F6"/>
    <w:rsid w:val="00174A2C"/>
    <w:rsid w:val="0017512B"/>
    <w:rsid w:val="0017601D"/>
    <w:rsid w:val="00177144"/>
    <w:rsid w:val="00184F9F"/>
    <w:rsid w:val="001908CB"/>
    <w:rsid w:val="001A2B7F"/>
    <w:rsid w:val="001B00E6"/>
    <w:rsid w:val="001B2BB8"/>
    <w:rsid w:val="001C269D"/>
    <w:rsid w:val="001C40CB"/>
    <w:rsid w:val="001D1F24"/>
    <w:rsid w:val="001D2E8A"/>
    <w:rsid w:val="001D3862"/>
    <w:rsid w:val="001D6766"/>
    <w:rsid w:val="001D705C"/>
    <w:rsid w:val="001E210A"/>
    <w:rsid w:val="001E2F4C"/>
    <w:rsid w:val="001E56E7"/>
    <w:rsid w:val="001E5ECE"/>
    <w:rsid w:val="001F139B"/>
    <w:rsid w:val="001F2613"/>
    <w:rsid w:val="00210858"/>
    <w:rsid w:val="002213F4"/>
    <w:rsid w:val="002235AC"/>
    <w:rsid w:val="002258B7"/>
    <w:rsid w:val="0022771E"/>
    <w:rsid w:val="00246A27"/>
    <w:rsid w:val="00252C5D"/>
    <w:rsid w:val="00254570"/>
    <w:rsid w:val="00255F0F"/>
    <w:rsid w:val="00265121"/>
    <w:rsid w:val="00267AD3"/>
    <w:rsid w:val="00272D80"/>
    <w:rsid w:val="00274F1C"/>
    <w:rsid w:val="00275213"/>
    <w:rsid w:val="0027738B"/>
    <w:rsid w:val="00287CA3"/>
    <w:rsid w:val="002908B1"/>
    <w:rsid w:val="00293A72"/>
    <w:rsid w:val="00296617"/>
    <w:rsid w:val="00297A55"/>
    <w:rsid w:val="00297D97"/>
    <w:rsid w:val="002A57F2"/>
    <w:rsid w:val="002B5C32"/>
    <w:rsid w:val="002C3C6A"/>
    <w:rsid w:val="002C4C59"/>
    <w:rsid w:val="002C6633"/>
    <w:rsid w:val="002D1DC9"/>
    <w:rsid w:val="002D348C"/>
    <w:rsid w:val="002D385E"/>
    <w:rsid w:val="002E1818"/>
    <w:rsid w:val="002E3B83"/>
    <w:rsid w:val="002E4182"/>
    <w:rsid w:val="002E6C40"/>
    <w:rsid w:val="002F2885"/>
    <w:rsid w:val="002F3431"/>
    <w:rsid w:val="00300680"/>
    <w:rsid w:val="00310B65"/>
    <w:rsid w:val="00311DF6"/>
    <w:rsid w:val="00323EE7"/>
    <w:rsid w:val="0032424B"/>
    <w:rsid w:val="003366A7"/>
    <w:rsid w:val="00342283"/>
    <w:rsid w:val="0034463B"/>
    <w:rsid w:val="0034713C"/>
    <w:rsid w:val="00354E47"/>
    <w:rsid w:val="00362D35"/>
    <w:rsid w:val="0036601D"/>
    <w:rsid w:val="003758FE"/>
    <w:rsid w:val="00375DE4"/>
    <w:rsid w:val="003825D3"/>
    <w:rsid w:val="00387390"/>
    <w:rsid w:val="00394AAF"/>
    <w:rsid w:val="003A730B"/>
    <w:rsid w:val="003B2E21"/>
    <w:rsid w:val="003B78AD"/>
    <w:rsid w:val="003B7AD5"/>
    <w:rsid w:val="003C28E8"/>
    <w:rsid w:val="003C2B69"/>
    <w:rsid w:val="003C5418"/>
    <w:rsid w:val="003D1543"/>
    <w:rsid w:val="003D2E72"/>
    <w:rsid w:val="003D5DCE"/>
    <w:rsid w:val="003E36E9"/>
    <w:rsid w:val="003E609D"/>
    <w:rsid w:val="003F0015"/>
    <w:rsid w:val="003F0BAA"/>
    <w:rsid w:val="00400524"/>
    <w:rsid w:val="0040077F"/>
    <w:rsid w:val="00401584"/>
    <w:rsid w:val="0040222A"/>
    <w:rsid w:val="00404201"/>
    <w:rsid w:val="004047BC"/>
    <w:rsid w:val="00404B85"/>
    <w:rsid w:val="00407CDD"/>
    <w:rsid w:val="00410CF8"/>
    <w:rsid w:val="00412C0B"/>
    <w:rsid w:val="00414931"/>
    <w:rsid w:val="0041607F"/>
    <w:rsid w:val="00420C06"/>
    <w:rsid w:val="0042197E"/>
    <w:rsid w:val="0042205C"/>
    <w:rsid w:val="00426E25"/>
    <w:rsid w:val="00431A45"/>
    <w:rsid w:val="00431EDD"/>
    <w:rsid w:val="00434174"/>
    <w:rsid w:val="00437812"/>
    <w:rsid w:val="00445BD5"/>
    <w:rsid w:val="00452631"/>
    <w:rsid w:val="004569A0"/>
    <w:rsid w:val="004611EE"/>
    <w:rsid w:val="00463FFC"/>
    <w:rsid w:val="004672E8"/>
    <w:rsid w:val="00473871"/>
    <w:rsid w:val="00483567"/>
    <w:rsid w:val="004876CA"/>
    <w:rsid w:val="00487AD0"/>
    <w:rsid w:val="00494B8B"/>
    <w:rsid w:val="0049776E"/>
    <w:rsid w:val="004979B7"/>
    <w:rsid w:val="004A077E"/>
    <w:rsid w:val="004A097C"/>
    <w:rsid w:val="004A1318"/>
    <w:rsid w:val="004A5828"/>
    <w:rsid w:val="004A5AC6"/>
    <w:rsid w:val="004B1434"/>
    <w:rsid w:val="004B2208"/>
    <w:rsid w:val="004B56D0"/>
    <w:rsid w:val="004C7007"/>
    <w:rsid w:val="004D0D88"/>
    <w:rsid w:val="004D538E"/>
    <w:rsid w:val="004E0FBA"/>
    <w:rsid w:val="004F1EA5"/>
    <w:rsid w:val="004F3A84"/>
    <w:rsid w:val="004F5154"/>
    <w:rsid w:val="004F652B"/>
    <w:rsid w:val="0050585D"/>
    <w:rsid w:val="00506F94"/>
    <w:rsid w:val="00507782"/>
    <w:rsid w:val="00511F72"/>
    <w:rsid w:val="00512A04"/>
    <w:rsid w:val="00512A7D"/>
    <w:rsid w:val="00513D5B"/>
    <w:rsid w:val="00516B26"/>
    <w:rsid w:val="00517D7A"/>
    <w:rsid w:val="00521F21"/>
    <w:rsid w:val="00522C01"/>
    <w:rsid w:val="0052441C"/>
    <w:rsid w:val="00525EB8"/>
    <w:rsid w:val="00550AF5"/>
    <w:rsid w:val="00550F98"/>
    <w:rsid w:val="005518B2"/>
    <w:rsid w:val="00551D26"/>
    <w:rsid w:val="00552DC3"/>
    <w:rsid w:val="005570C9"/>
    <w:rsid w:val="0056302E"/>
    <w:rsid w:val="00563B18"/>
    <w:rsid w:val="005654B8"/>
    <w:rsid w:val="005666BC"/>
    <w:rsid w:val="0056691F"/>
    <w:rsid w:val="00571239"/>
    <w:rsid w:val="00574E3D"/>
    <w:rsid w:val="00576A68"/>
    <w:rsid w:val="005801A9"/>
    <w:rsid w:val="00580505"/>
    <w:rsid w:val="00584F5C"/>
    <w:rsid w:val="00592014"/>
    <w:rsid w:val="00592F52"/>
    <w:rsid w:val="00597C89"/>
    <w:rsid w:val="005A1BB1"/>
    <w:rsid w:val="005A5846"/>
    <w:rsid w:val="005A7A8F"/>
    <w:rsid w:val="005B46D4"/>
    <w:rsid w:val="005B4B80"/>
    <w:rsid w:val="005B5AC2"/>
    <w:rsid w:val="005B77FD"/>
    <w:rsid w:val="005C1413"/>
    <w:rsid w:val="005C57DE"/>
    <w:rsid w:val="005D269A"/>
    <w:rsid w:val="005E2F53"/>
    <w:rsid w:val="005E540C"/>
    <w:rsid w:val="005E6AF0"/>
    <w:rsid w:val="005F764E"/>
    <w:rsid w:val="005F7C4C"/>
    <w:rsid w:val="0060545C"/>
    <w:rsid w:val="00611486"/>
    <w:rsid w:val="0061383C"/>
    <w:rsid w:val="0062147A"/>
    <w:rsid w:val="0062572E"/>
    <w:rsid w:val="00625C16"/>
    <w:rsid w:val="006260E5"/>
    <w:rsid w:val="006279A6"/>
    <w:rsid w:val="006304B7"/>
    <w:rsid w:val="00630CB2"/>
    <w:rsid w:val="00631EB0"/>
    <w:rsid w:val="006324C4"/>
    <w:rsid w:val="00634329"/>
    <w:rsid w:val="00640FC1"/>
    <w:rsid w:val="006436BA"/>
    <w:rsid w:val="006471CC"/>
    <w:rsid w:val="00650F5B"/>
    <w:rsid w:val="00652E1F"/>
    <w:rsid w:val="00654717"/>
    <w:rsid w:val="006621DD"/>
    <w:rsid w:val="00664D41"/>
    <w:rsid w:val="00671027"/>
    <w:rsid w:val="006719EA"/>
    <w:rsid w:val="0068187F"/>
    <w:rsid w:val="006833F8"/>
    <w:rsid w:val="00687540"/>
    <w:rsid w:val="006927B6"/>
    <w:rsid w:val="00694D69"/>
    <w:rsid w:val="0069566B"/>
    <w:rsid w:val="006958D1"/>
    <w:rsid w:val="006A1065"/>
    <w:rsid w:val="006A769B"/>
    <w:rsid w:val="006B382E"/>
    <w:rsid w:val="006B3D31"/>
    <w:rsid w:val="006B7A4C"/>
    <w:rsid w:val="006C391B"/>
    <w:rsid w:val="006D3B70"/>
    <w:rsid w:val="006D420E"/>
    <w:rsid w:val="006D4508"/>
    <w:rsid w:val="006D475B"/>
    <w:rsid w:val="006D47EC"/>
    <w:rsid w:val="006D4B85"/>
    <w:rsid w:val="006D5C21"/>
    <w:rsid w:val="006D6C8C"/>
    <w:rsid w:val="006E2015"/>
    <w:rsid w:val="006F18EB"/>
    <w:rsid w:val="006F5626"/>
    <w:rsid w:val="00704304"/>
    <w:rsid w:val="00704FDF"/>
    <w:rsid w:val="00705033"/>
    <w:rsid w:val="00722DDB"/>
    <w:rsid w:val="007256BE"/>
    <w:rsid w:val="00734655"/>
    <w:rsid w:val="00736E66"/>
    <w:rsid w:val="0073786A"/>
    <w:rsid w:val="007408F5"/>
    <w:rsid w:val="00742D33"/>
    <w:rsid w:val="00751BE4"/>
    <w:rsid w:val="0075632B"/>
    <w:rsid w:val="00762C0F"/>
    <w:rsid w:val="0076350D"/>
    <w:rsid w:val="00763ECE"/>
    <w:rsid w:val="0076484E"/>
    <w:rsid w:val="00764C50"/>
    <w:rsid w:val="00775AA2"/>
    <w:rsid w:val="007766EF"/>
    <w:rsid w:val="0079238B"/>
    <w:rsid w:val="00792CC2"/>
    <w:rsid w:val="00795399"/>
    <w:rsid w:val="007A3E91"/>
    <w:rsid w:val="007A6554"/>
    <w:rsid w:val="007B16C3"/>
    <w:rsid w:val="007B2A4D"/>
    <w:rsid w:val="007B5415"/>
    <w:rsid w:val="007C27CC"/>
    <w:rsid w:val="007C7ECC"/>
    <w:rsid w:val="007D1A0C"/>
    <w:rsid w:val="007D304A"/>
    <w:rsid w:val="007D461E"/>
    <w:rsid w:val="007D55DF"/>
    <w:rsid w:val="007D69F6"/>
    <w:rsid w:val="007D7594"/>
    <w:rsid w:val="007D7D16"/>
    <w:rsid w:val="007D7E7C"/>
    <w:rsid w:val="007E1AB8"/>
    <w:rsid w:val="007E3A16"/>
    <w:rsid w:val="007E4A26"/>
    <w:rsid w:val="007E7E3A"/>
    <w:rsid w:val="007F332F"/>
    <w:rsid w:val="00800CDB"/>
    <w:rsid w:val="008054B6"/>
    <w:rsid w:val="00806388"/>
    <w:rsid w:val="00806800"/>
    <w:rsid w:val="00821EA2"/>
    <w:rsid w:val="0082325A"/>
    <w:rsid w:val="008241F6"/>
    <w:rsid w:val="008249DC"/>
    <w:rsid w:val="0082601D"/>
    <w:rsid w:val="008313C4"/>
    <w:rsid w:val="00834F58"/>
    <w:rsid w:val="00835CB5"/>
    <w:rsid w:val="00840B05"/>
    <w:rsid w:val="00844732"/>
    <w:rsid w:val="00845863"/>
    <w:rsid w:val="0084657A"/>
    <w:rsid w:val="00850AA7"/>
    <w:rsid w:val="00855D46"/>
    <w:rsid w:val="008575BE"/>
    <w:rsid w:val="00861DC3"/>
    <w:rsid w:val="00862018"/>
    <w:rsid w:val="00865F2C"/>
    <w:rsid w:val="00870C10"/>
    <w:rsid w:val="00875B49"/>
    <w:rsid w:val="0087782D"/>
    <w:rsid w:val="00877C1A"/>
    <w:rsid w:val="00892CF2"/>
    <w:rsid w:val="0089705F"/>
    <w:rsid w:val="008A4564"/>
    <w:rsid w:val="008A5871"/>
    <w:rsid w:val="008C1A71"/>
    <w:rsid w:val="008C1FC0"/>
    <w:rsid w:val="008D442A"/>
    <w:rsid w:val="008D4775"/>
    <w:rsid w:val="008E4905"/>
    <w:rsid w:val="008F1983"/>
    <w:rsid w:val="008F3330"/>
    <w:rsid w:val="008F3628"/>
    <w:rsid w:val="008F7F52"/>
    <w:rsid w:val="009010B1"/>
    <w:rsid w:val="009036A6"/>
    <w:rsid w:val="00907139"/>
    <w:rsid w:val="00915310"/>
    <w:rsid w:val="00933F01"/>
    <w:rsid w:val="0093401B"/>
    <w:rsid w:val="00950B1F"/>
    <w:rsid w:val="009538CF"/>
    <w:rsid w:val="009568B9"/>
    <w:rsid w:val="009616DF"/>
    <w:rsid w:val="00964F84"/>
    <w:rsid w:val="0096514E"/>
    <w:rsid w:val="0096528F"/>
    <w:rsid w:val="00965661"/>
    <w:rsid w:val="00971B34"/>
    <w:rsid w:val="009763AB"/>
    <w:rsid w:val="00990EDF"/>
    <w:rsid w:val="00993C8E"/>
    <w:rsid w:val="009A25A1"/>
    <w:rsid w:val="009A58FE"/>
    <w:rsid w:val="009A7587"/>
    <w:rsid w:val="009B7DBD"/>
    <w:rsid w:val="009D0EF7"/>
    <w:rsid w:val="009D3051"/>
    <w:rsid w:val="009D6559"/>
    <w:rsid w:val="009E175D"/>
    <w:rsid w:val="009E392B"/>
    <w:rsid w:val="00A06744"/>
    <w:rsid w:val="00A06F2A"/>
    <w:rsid w:val="00A1061C"/>
    <w:rsid w:val="00A1236D"/>
    <w:rsid w:val="00A2042D"/>
    <w:rsid w:val="00A23E25"/>
    <w:rsid w:val="00A24C50"/>
    <w:rsid w:val="00A2555B"/>
    <w:rsid w:val="00A2573A"/>
    <w:rsid w:val="00A3739D"/>
    <w:rsid w:val="00A374A4"/>
    <w:rsid w:val="00A37DDA"/>
    <w:rsid w:val="00A420F3"/>
    <w:rsid w:val="00A42C19"/>
    <w:rsid w:val="00A42D4E"/>
    <w:rsid w:val="00A45F95"/>
    <w:rsid w:val="00A46F78"/>
    <w:rsid w:val="00A50834"/>
    <w:rsid w:val="00A53808"/>
    <w:rsid w:val="00A60A1C"/>
    <w:rsid w:val="00A7746C"/>
    <w:rsid w:val="00A80DD2"/>
    <w:rsid w:val="00A833B4"/>
    <w:rsid w:val="00A925EC"/>
    <w:rsid w:val="00A9508D"/>
    <w:rsid w:val="00A95BEF"/>
    <w:rsid w:val="00AA4961"/>
    <w:rsid w:val="00AC279B"/>
    <w:rsid w:val="00AC3139"/>
    <w:rsid w:val="00AC710E"/>
    <w:rsid w:val="00AD55EA"/>
    <w:rsid w:val="00AE0E74"/>
    <w:rsid w:val="00AF113B"/>
    <w:rsid w:val="00AF2EE7"/>
    <w:rsid w:val="00AF337E"/>
    <w:rsid w:val="00AF3FDB"/>
    <w:rsid w:val="00AF4C76"/>
    <w:rsid w:val="00AF7BB4"/>
    <w:rsid w:val="00B020B4"/>
    <w:rsid w:val="00B023A1"/>
    <w:rsid w:val="00B0265B"/>
    <w:rsid w:val="00B04D22"/>
    <w:rsid w:val="00B10664"/>
    <w:rsid w:val="00B17BCA"/>
    <w:rsid w:val="00B2231E"/>
    <w:rsid w:val="00B26511"/>
    <w:rsid w:val="00B31014"/>
    <w:rsid w:val="00B343CC"/>
    <w:rsid w:val="00B36316"/>
    <w:rsid w:val="00B42873"/>
    <w:rsid w:val="00B52FFB"/>
    <w:rsid w:val="00B548F1"/>
    <w:rsid w:val="00B611F9"/>
    <w:rsid w:val="00B61936"/>
    <w:rsid w:val="00B61B26"/>
    <w:rsid w:val="00B63068"/>
    <w:rsid w:val="00B63BB8"/>
    <w:rsid w:val="00B7250C"/>
    <w:rsid w:val="00B7558F"/>
    <w:rsid w:val="00B8120F"/>
    <w:rsid w:val="00B81365"/>
    <w:rsid w:val="00B8229A"/>
    <w:rsid w:val="00B826FE"/>
    <w:rsid w:val="00B8544B"/>
    <w:rsid w:val="00B87F51"/>
    <w:rsid w:val="00B93D1C"/>
    <w:rsid w:val="00BA32A1"/>
    <w:rsid w:val="00BA7675"/>
    <w:rsid w:val="00BB0AC8"/>
    <w:rsid w:val="00BB18BB"/>
    <w:rsid w:val="00BB2406"/>
    <w:rsid w:val="00BB548E"/>
    <w:rsid w:val="00BB6464"/>
    <w:rsid w:val="00BC6955"/>
    <w:rsid w:val="00BD03DA"/>
    <w:rsid w:val="00BD14CE"/>
    <w:rsid w:val="00BE57AE"/>
    <w:rsid w:val="00BE5EDF"/>
    <w:rsid w:val="00BF5EB6"/>
    <w:rsid w:val="00C11249"/>
    <w:rsid w:val="00C13505"/>
    <w:rsid w:val="00C21F80"/>
    <w:rsid w:val="00C40DBF"/>
    <w:rsid w:val="00C42979"/>
    <w:rsid w:val="00C43455"/>
    <w:rsid w:val="00C470A9"/>
    <w:rsid w:val="00C54170"/>
    <w:rsid w:val="00C62099"/>
    <w:rsid w:val="00C7006E"/>
    <w:rsid w:val="00C704A9"/>
    <w:rsid w:val="00C70932"/>
    <w:rsid w:val="00C74C2C"/>
    <w:rsid w:val="00C756B9"/>
    <w:rsid w:val="00C75E81"/>
    <w:rsid w:val="00C8351E"/>
    <w:rsid w:val="00C83B4F"/>
    <w:rsid w:val="00C93767"/>
    <w:rsid w:val="00C93DBA"/>
    <w:rsid w:val="00CA3B32"/>
    <w:rsid w:val="00CA45E4"/>
    <w:rsid w:val="00CA5D48"/>
    <w:rsid w:val="00CB36E0"/>
    <w:rsid w:val="00CB56CD"/>
    <w:rsid w:val="00CC7DEB"/>
    <w:rsid w:val="00CD3B9F"/>
    <w:rsid w:val="00CD4A6E"/>
    <w:rsid w:val="00D019B6"/>
    <w:rsid w:val="00D118D0"/>
    <w:rsid w:val="00D12B4B"/>
    <w:rsid w:val="00D1341E"/>
    <w:rsid w:val="00D168C1"/>
    <w:rsid w:val="00D211FA"/>
    <w:rsid w:val="00D23DDD"/>
    <w:rsid w:val="00D248DD"/>
    <w:rsid w:val="00D31094"/>
    <w:rsid w:val="00D440C7"/>
    <w:rsid w:val="00D50356"/>
    <w:rsid w:val="00D60A3D"/>
    <w:rsid w:val="00D67441"/>
    <w:rsid w:val="00D750FA"/>
    <w:rsid w:val="00D77D62"/>
    <w:rsid w:val="00D82806"/>
    <w:rsid w:val="00D92457"/>
    <w:rsid w:val="00D92A16"/>
    <w:rsid w:val="00D975C0"/>
    <w:rsid w:val="00DA0997"/>
    <w:rsid w:val="00DA3ACE"/>
    <w:rsid w:val="00DB08B4"/>
    <w:rsid w:val="00DB152C"/>
    <w:rsid w:val="00DC24DD"/>
    <w:rsid w:val="00DC2D9A"/>
    <w:rsid w:val="00DC42E6"/>
    <w:rsid w:val="00DC5DD9"/>
    <w:rsid w:val="00DD090F"/>
    <w:rsid w:val="00DD2A20"/>
    <w:rsid w:val="00DD36D1"/>
    <w:rsid w:val="00DD4952"/>
    <w:rsid w:val="00DF0487"/>
    <w:rsid w:val="00DF1E6E"/>
    <w:rsid w:val="00DF2E69"/>
    <w:rsid w:val="00DF43E8"/>
    <w:rsid w:val="00E0047C"/>
    <w:rsid w:val="00E04EE5"/>
    <w:rsid w:val="00E06EB2"/>
    <w:rsid w:val="00E15DAF"/>
    <w:rsid w:val="00E218F2"/>
    <w:rsid w:val="00E26295"/>
    <w:rsid w:val="00E2785C"/>
    <w:rsid w:val="00E33EE4"/>
    <w:rsid w:val="00E36A00"/>
    <w:rsid w:val="00E42353"/>
    <w:rsid w:val="00E42488"/>
    <w:rsid w:val="00E522A3"/>
    <w:rsid w:val="00E566A9"/>
    <w:rsid w:val="00E6045E"/>
    <w:rsid w:val="00E61144"/>
    <w:rsid w:val="00E62BAF"/>
    <w:rsid w:val="00E674EE"/>
    <w:rsid w:val="00E74939"/>
    <w:rsid w:val="00E76D70"/>
    <w:rsid w:val="00E839C9"/>
    <w:rsid w:val="00E910F9"/>
    <w:rsid w:val="00EA2B27"/>
    <w:rsid w:val="00EA3B1A"/>
    <w:rsid w:val="00EA3D0F"/>
    <w:rsid w:val="00EA522A"/>
    <w:rsid w:val="00EB59A5"/>
    <w:rsid w:val="00EB79D1"/>
    <w:rsid w:val="00EC30C1"/>
    <w:rsid w:val="00EC48C4"/>
    <w:rsid w:val="00EC59E3"/>
    <w:rsid w:val="00ED081D"/>
    <w:rsid w:val="00ED2A9D"/>
    <w:rsid w:val="00ED5D0D"/>
    <w:rsid w:val="00ED744E"/>
    <w:rsid w:val="00EE3AC1"/>
    <w:rsid w:val="00EE4419"/>
    <w:rsid w:val="00EF31EE"/>
    <w:rsid w:val="00EF61D4"/>
    <w:rsid w:val="00F0343D"/>
    <w:rsid w:val="00F04113"/>
    <w:rsid w:val="00F04768"/>
    <w:rsid w:val="00F07F40"/>
    <w:rsid w:val="00F32A67"/>
    <w:rsid w:val="00F44C03"/>
    <w:rsid w:val="00F525E6"/>
    <w:rsid w:val="00F5344D"/>
    <w:rsid w:val="00F53607"/>
    <w:rsid w:val="00F55769"/>
    <w:rsid w:val="00F56C92"/>
    <w:rsid w:val="00F57D11"/>
    <w:rsid w:val="00F60011"/>
    <w:rsid w:val="00F6492F"/>
    <w:rsid w:val="00F64EC8"/>
    <w:rsid w:val="00F8007B"/>
    <w:rsid w:val="00F922E3"/>
    <w:rsid w:val="00F967DC"/>
    <w:rsid w:val="00FA19E4"/>
    <w:rsid w:val="00FA2EAB"/>
    <w:rsid w:val="00FA6D3D"/>
    <w:rsid w:val="00FA7C02"/>
    <w:rsid w:val="00FB3109"/>
    <w:rsid w:val="00FB5006"/>
    <w:rsid w:val="00FB5692"/>
    <w:rsid w:val="00FC27B0"/>
    <w:rsid w:val="00FC5A80"/>
    <w:rsid w:val="00FC6C12"/>
    <w:rsid w:val="00FD77DB"/>
    <w:rsid w:val="00FD79D4"/>
    <w:rsid w:val="00FE26F3"/>
    <w:rsid w:val="00FE6996"/>
    <w:rsid w:val="00FF6CE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D4A00F-08A1-459A-AB7C-DE24C7AF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qFormat="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584"/>
  </w:style>
  <w:style w:type="paragraph" w:styleId="Heading1">
    <w:name w:val="heading 1"/>
    <w:basedOn w:val="Normal"/>
    <w:next w:val="Normal"/>
    <w:link w:val="Heading1Char"/>
    <w:uiPriority w:val="1"/>
    <w:qFormat/>
    <w:rsid w:val="00F55769"/>
    <w:pPr>
      <w:keepNext/>
      <w:keepLines/>
      <w:numPr>
        <w:numId w:val="19"/>
      </w:numPr>
      <w:spacing w:before="240"/>
      <w:ind w:hanging="72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93401B"/>
    <w:pPr>
      <w:keepNext/>
      <w:keepLines/>
      <w:numPr>
        <w:ilvl w:val="1"/>
        <w:numId w:val="1"/>
      </w:numPr>
      <w:spacing w:before="240"/>
      <w:ind w:left="851" w:hanging="851"/>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3401B"/>
    <w:pPr>
      <w:keepNext/>
      <w:keepLines/>
      <w:numPr>
        <w:ilvl w:val="2"/>
        <w:numId w:val="1"/>
      </w:numPr>
      <w:spacing w:before="240"/>
      <w:ind w:left="851" w:hanging="851"/>
      <w:outlineLvl w:val="2"/>
    </w:pPr>
    <w:rPr>
      <w:rFonts w:cs="Arial"/>
      <w:b/>
      <w:bCs/>
      <w:sz w:val="24"/>
      <w:szCs w:val="26"/>
    </w:rPr>
  </w:style>
  <w:style w:type="paragraph" w:styleId="Heading4">
    <w:name w:val="heading 4"/>
    <w:basedOn w:val="Normal"/>
    <w:next w:val="Normal"/>
    <w:link w:val="Heading4Char"/>
    <w:uiPriority w:val="1"/>
    <w:qFormat/>
    <w:rsid w:val="0093401B"/>
    <w:pPr>
      <w:keepNext/>
      <w:keepLines/>
      <w:numPr>
        <w:ilvl w:val="3"/>
        <w:numId w:val="1"/>
      </w:numPr>
      <w:spacing w:before="240"/>
      <w:ind w:left="1276" w:hanging="1276"/>
      <w:outlineLvl w:val="3"/>
    </w:pPr>
    <w:rPr>
      <w:rFonts w:eastAsiaTheme="majorEastAsia" w:cstheme="majorBidi"/>
      <w:b/>
      <w:bCs/>
      <w:iCs/>
      <w:color w:val="606060"/>
    </w:rPr>
  </w:style>
  <w:style w:type="paragraph" w:styleId="Heading5">
    <w:name w:val="heading 5"/>
    <w:basedOn w:val="Normal"/>
    <w:next w:val="Normal"/>
    <w:link w:val="Heading5Char"/>
    <w:uiPriority w:val="9"/>
    <w:rsid w:val="0093401B"/>
    <w:pPr>
      <w:keepNext/>
      <w:keepLines/>
      <w:numPr>
        <w:ilvl w:val="4"/>
        <w:numId w:val="1"/>
      </w:numPr>
      <w:ind w:left="1276" w:hanging="1276"/>
      <w:outlineLvl w:val="4"/>
    </w:pPr>
    <w:rPr>
      <w:b/>
      <w:color w:val="000000" w:themeColor="text1"/>
    </w:rPr>
  </w:style>
  <w:style w:type="paragraph" w:styleId="Heading6">
    <w:name w:val="heading 6"/>
    <w:basedOn w:val="Normal"/>
    <w:next w:val="Normal"/>
    <w:link w:val="Heading6Char"/>
    <w:uiPriority w:val="9"/>
    <w:rsid w:val="0093401B"/>
    <w:pPr>
      <w:keepNext/>
      <w:keepLines/>
      <w:numPr>
        <w:ilvl w:val="5"/>
        <w:numId w:val="1"/>
      </w:numPr>
      <w:ind w:left="1701" w:hanging="1701"/>
      <w:outlineLvl w:val="5"/>
    </w:pPr>
    <w:rPr>
      <w:b/>
      <w:color w:val="606060"/>
    </w:rPr>
  </w:style>
  <w:style w:type="paragraph" w:styleId="Heading7">
    <w:name w:val="heading 7"/>
    <w:basedOn w:val="Normal"/>
    <w:next w:val="Normal"/>
    <w:link w:val="Heading7Char"/>
    <w:uiPriority w:val="9"/>
    <w:rsid w:val="0093401B"/>
    <w:pPr>
      <w:keepNext/>
      <w:keepLines/>
      <w:numPr>
        <w:ilvl w:val="6"/>
        <w:numId w:val="1"/>
      </w:numPr>
      <w:ind w:left="1701" w:hanging="1701"/>
      <w:outlineLvl w:val="6"/>
    </w:pPr>
    <w:rPr>
      <w:b/>
      <w:color w:val="000000" w:themeColor="text1"/>
    </w:rPr>
  </w:style>
  <w:style w:type="paragraph" w:styleId="Heading8">
    <w:name w:val="heading 8"/>
    <w:basedOn w:val="Normal"/>
    <w:next w:val="Normal"/>
    <w:link w:val="Heading8Char"/>
    <w:uiPriority w:val="9"/>
    <w:rsid w:val="0093401B"/>
    <w:pPr>
      <w:keepNext/>
      <w:keepLines/>
      <w:numPr>
        <w:ilvl w:val="7"/>
        <w:numId w:val="1"/>
      </w:numPr>
      <w:ind w:left="2126" w:hanging="2126"/>
      <w:outlineLvl w:val="7"/>
    </w:pPr>
    <w:rPr>
      <w:b/>
      <w:color w:val="606060"/>
    </w:rPr>
  </w:style>
  <w:style w:type="paragraph" w:styleId="Heading9">
    <w:name w:val="heading 9"/>
    <w:basedOn w:val="Normal"/>
    <w:next w:val="Normal"/>
    <w:link w:val="Heading9Char"/>
    <w:uiPriority w:val="9"/>
    <w:rsid w:val="0093401B"/>
    <w:pPr>
      <w:keepNext/>
      <w:keepLines/>
      <w:numPr>
        <w:ilvl w:val="8"/>
        <w:numId w:val="1"/>
      </w:numPr>
      <w:ind w:left="2126" w:hanging="2126"/>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5769"/>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3401B"/>
    <w:rPr>
      <w:rFonts w:eastAsiaTheme="majorEastAsia" w:cstheme="majorBidi"/>
      <w:b/>
      <w:bCs/>
      <w:iCs/>
      <w:color w:val="606060"/>
      <w:sz w:val="28"/>
      <w:szCs w:val="28"/>
    </w:rPr>
  </w:style>
  <w:style w:type="paragraph" w:styleId="Title">
    <w:name w:val="Title"/>
    <w:basedOn w:val="Normal"/>
    <w:next w:val="Normal"/>
    <w:link w:val="TitleChar"/>
    <w:uiPriority w:val="10"/>
    <w:semiHidden/>
    <w:qFormat/>
    <w:rsid w:val="0076350D"/>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semiHidden/>
    <w:rsid w:val="0076350D"/>
    <w:rPr>
      <w:rFonts w:eastAsiaTheme="majorEastAsia" w:cstheme="majorBidi"/>
      <w:b/>
      <w:bCs/>
      <w:kern w:val="28"/>
      <w:sz w:val="32"/>
      <w:szCs w:val="32"/>
    </w:rPr>
  </w:style>
  <w:style w:type="paragraph" w:styleId="Subtitle">
    <w:name w:val="Subtitle"/>
    <w:basedOn w:val="SubTitle0"/>
    <w:next w:val="Normal"/>
    <w:link w:val="SubtitleChar"/>
    <w:uiPriority w:val="11"/>
    <w:semiHidden/>
    <w:qFormat/>
    <w:rsid w:val="0076350D"/>
  </w:style>
  <w:style w:type="character" w:customStyle="1" w:styleId="SubtitleChar">
    <w:name w:val="Subtitle Char"/>
    <w:basedOn w:val="DefaultParagraphFont"/>
    <w:link w:val="Subtitle"/>
    <w:uiPriority w:val="11"/>
    <w:semiHidden/>
    <w:rsid w:val="0076350D"/>
    <w:rPr>
      <w:rFonts w:cs="Arial"/>
      <w:b/>
      <w:bCs/>
      <w:sz w:val="32"/>
      <w:szCs w:val="24"/>
    </w:rPr>
  </w:style>
  <w:style w:type="character" w:customStyle="1" w:styleId="Heading3Char">
    <w:name w:val="Heading 3 Char"/>
    <w:basedOn w:val="DefaultParagraphFont"/>
    <w:link w:val="Heading3"/>
    <w:uiPriority w:val="1"/>
    <w:rsid w:val="0093401B"/>
    <w:rPr>
      <w:rFonts w:cs="Arial"/>
      <w:b/>
      <w:bCs/>
      <w:sz w:val="24"/>
      <w:szCs w:val="26"/>
    </w:rPr>
  </w:style>
  <w:style w:type="paragraph" w:styleId="ListParagraph">
    <w:name w:val="List Paragraph"/>
    <w:basedOn w:val="BlockText"/>
    <w:uiPriority w:val="34"/>
    <w:rsid w:val="00950B1F"/>
    <w:pPr>
      <w:pBdr>
        <w:top w:val="none" w:sz="0" w:space="0" w:color="auto"/>
        <w:left w:val="none" w:sz="0" w:space="0" w:color="auto"/>
        <w:bottom w:val="none" w:sz="0" w:space="0" w:color="auto"/>
        <w:right w:val="none" w:sz="0" w:space="0" w:color="auto"/>
      </w:pBdr>
      <w:spacing w:after="120"/>
      <w:ind w:left="0" w:right="0"/>
    </w:pPr>
    <w:rPr>
      <w:rFonts w:ascii="Arial" w:hAnsi="Arial" w:cs="Times New Roman"/>
      <w:i w:val="0"/>
      <w:color w:val="auto"/>
    </w:rPr>
  </w:style>
  <w:style w:type="numbering" w:customStyle="1" w:styleId="NTGStandardList">
    <w:name w:val="NTG Standard List"/>
    <w:basedOn w:val="NoList"/>
    <w:rsid w:val="00950B1F"/>
    <w:pPr>
      <w:numPr>
        <w:numId w:val="6"/>
      </w:numPr>
    </w:pPr>
  </w:style>
  <w:style w:type="paragraph" w:styleId="Header">
    <w:name w:val="header"/>
    <w:aliases w:val="NTG Page Header"/>
    <w:basedOn w:val="Normal"/>
    <w:next w:val="Normal"/>
    <w:link w:val="HeaderChar"/>
    <w:uiPriority w:val="99"/>
    <w:rsid w:val="0076350D"/>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99"/>
    <w:rsid w:val="0076350D"/>
    <w:rPr>
      <w:b/>
    </w:rPr>
  </w:style>
  <w:style w:type="paragraph" w:styleId="Footer">
    <w:name w:val="footer"/>
    <w:next w:val="Normal"/>
    <w:link w:val="FooterChar"/>
    <w:uiPriority w:val="99"/>
    <w:semiHidden/>
    <w:rsid w:val="0076350D"/>
    <w:pPr>
      <w:tabs>
        <w:tab w:val="right" w:pos="9639"/>
        <w:tab w:val="right" w:pos="14459"/>
      </w:tabs>
      <w:ind w:right="-284"/>
    </w:pPr>
    <w:rPr>
      <w:rFonts w:eastAsia="Times New Roman" w:cs="Arial"/>
      <w:noProof/>
      <w:sz w:val="16"/>
      <w:lang w:eastAsia="en-AU"/>
    </w:rPr>
  </w:style>
  <w:style w:type="character" w:customStyle="1" w:styleId="FooterChar">
    <w:name w:val="Footer Char"/>
    <w:basedOn w:val="DefaultParagraphFont"/>
    <w:link w:val="Footer"/>
    <w:uiPriority w:val="99"/>
    <w:semiHidden/>
    <w:rsid w:val="0076350D"/>
    <w:rPr>
      <w:rFonts w:eastAsia="Times New Roman" w:cs="Arial"/>
      <w:noProof/>
      <w:sz w:val="16"/>
      <w:lang w:eastAsia="en-AU"/>
    </w:rPr>
  </w:style>
  <w:style w:type="character" w:customStyle="1" w:styleId="Heading5Char">
    <w:name w:val="Heading 5 Char"/>
    <w:basedOn w:val="DefaultParagraphFont"/>
    <w:link w:val="Heading5"/>
    <w:uiPriority w:val="9"/>
    <w:rsid w:val="0093401B"/>
    <w:rPr>
      <w:b/>
      <w:color w:val="000000" w:themeColor="text1"/>
    </w:rPr>
  </w:style>
  <w:style w:type="paragraph" w:customStyle="1" w:styleId="SubTitle0">
    <w:name w:val="Sub Title"/>
    <w:basedOn w:val="Normal"/>
    <w:uiPriority w:val="99"/>
    <w:rsid w:val="0076350D"/>
    <w:pPr>
      <w:spacing w:after="0"/>
    </w:pPr>
    <w:rPr>
      <w:rFonts w:cs="Arial"/>
      <w:b/>
      <w:bCs/>
      <w:sz w:val="32"/>
      <w:szCs w:val="24"/>
    </w:rPr>
  </w:style>
  <w:style w:type="character" w:customStyle="1" w:styleId="Heading6Char">
    <w:name w:val="Heading 6 Char"/>
    <w:basedOn w:val="DefaultParagraphFont"/>
    <w:link w:val="Heading6"/>
    <w:uiPriority w:val="9"/>
    <w:rsid w:val="0093401B"/>
    <w:rPr>
      <w:b/>
      <w:color w:val="606060"/>
    </w:rPr>
  </w:style>
  <w:style w:type="character" w:styleId="PageNumber">
    <w:name w:val="page number"/>
    <w:basedOn w:val="DefaultParagraphFont"/>
    <w:semiHidden/>
    <w:rsid w:val="0076350D"/>
  </w:style>
  <w:style w:type="character" w:customStyle="1" w:styleId="Heading4Char">
    <w:name w:val="Heading 4 Char"/>
    <w:basedOn w:val="DefaultParagraphFont"/>
    <w:link w:val="Heading4"/>
    <w:uiPriority w:val="1"/>
    <w:rsid w:val="0093401B"/>
    <w:rPr>
      <w:rFonts w:eastAsiaTheme="majorEastAsia" w:cstheme="majorBidi"/>
      <w:b/>
      <w:bCs/>
      <w:iCs/>
      <w:color w:val="606060"/>
    </w:rPr>
  </w:style>
  <w:style w:type="paragraph" w:styleId="NormalWeb">
    <w:name w:val="Normal (Web)"/>
    <w:basedOn w:val="Normal"/>
    <w:uiPriority w:val="99"/>
    <w:semiHidden/>
    <w:rsid w:val="0076350D"/>
    <w:rPr>
      <w:rFonts w:ascii="Times New Roman" w:hAnsi="Times New Roman"/>
      <w:sz w:val="24"/>
      <w:szCs w:val="24"/>
    </w:rPr>
  </w:style>
  <w:style w:type="paragraph" w:styleId="BodyText">
    <w:name w:val="Body Text"/>
    <w:basedOn w:val="Normal"/>
    <w:link w:val="BodyTextChar"/>
    <w:uiPriority w:val="99"/>
    <w:semiHidden/>
    <w:rsid w:val="0076350D"/>
    <w:pPr>
      <w:spacing w:after="120"/>
    </w:pPr>
  </w:style>
  <w:style w:type="character" w:customStyle="1" w:styleId="BodyTextChar">
    <w:name w:val="Body Text Char"/>
    <w:basedOn w:val="DefaultParagraphFont"/>
    <w:link w:val="BodyText"/>
    <w:uiPriority w:val="99"/>
    <w:semiHidden/>
    <w:rsid w:val="0076350D"/>
  </w:style>
  <w:style w:type="paragraph" w:customStyle="1" w:styleId="NTGCoverPageDate">
    <w:name w:val="NTG Cover Page Date"/>
    <w:next w:val="Normal"/>
    <w:rsid w:val="0076350D"/>
    <w:pPr>
      <w:spacing w:before="1400"/>
    </w:pPr>
    <w:rPr>
      <w:rFonts w:eastAsia="Times New Roman"/>
      <w:sz w:val="28"/>
      <w:lang w:eastAsia="en-AU"/>
    </w:rPr>
  </w:style>
  <w:style w:type="paragraph" w:styleId="TOC2">
    <w:name w:val="toc 2"/>
    <w:basedOn w:val="Normal"/>
    <w:next w:val="Normal"/>
    <w:uiPriority w:val="39"/>
    <w:rsid w:val="00652E1F"/>
    <w:pPr>
      <w:tabs>
        <w:tab w:val="left" w:pos="1134"/>
        <w:tab w:val="right" w:leader="dot" w:pos="9639"/>
      </w:tabs>
      <w:spacing w:after="60"/>
      <w:ind w:left="1134" w:hanging="709"/>
      <w:contextualSpacing/>
    </w:pPr>
    <w:rPr>
      <w:rFonts w:eastAsiaTheme="minorEastAsia" w:cs="Arial"/>
      <w:noProof/>
      <w:lang w:eastAsia="en-AU"/>
    </w:rPr>
  </w:style>
  <w:style w:type="paragraph" w:styleId="TOC1">
    <w:name w:val="toc 1"/>
    <w:basedOn w:val="Normal"/>
    <w:next w:val="Normal"/>
    <w:uiPriority w:val="39"/>
    <w:rsid w:val="00844732"/>
    <w:pPr>
      <w:tabs>
        <w:tab w:val="left" w:pos="426"/>
        <w:tab w:val="right" w:leader="dot" w:pos="9639"/>
      </w:tabs>
      <w:spacing w:before="120" w:after="60"/>
      <w:ind w:left="425" w:hanging="425"/>
    </w:pPr>
    <w:rPr>
      <w:rFonts w:eastAsiaTheme="minorEastAsia" w:cs="Arial"/>
      <w:b/>
      <w:noProof/>
      <w:lang w:eastAsia="en-AU"/>
    </w:rPr>
  </w:style>
  <w:style w:type="paragraph" w:styleId="TOC3">
    <w:name w:val="toc 3"/>
    <w:basedOn w:val="Normal"/>
    <w:next w:val="Normal"/>
    <w:uiPriority w:val="39"/>
    <w:rsid w:val="00652E1F"/>
    <w:pPr>
      <w:tabs>
        <w:tab w:val="left" w:pos="1559"/>
        <w:tab w:val="right" w:leader="dot" w:pos="9639"/>
      </w:tabs>
      <w:spacing w:after="60"/>
      <w:ind w:left="1559" w:hanging="992"/>
      <w:contextualSpacing/>
    </w:pPr>
    <w:rPr>
      <w:rFonts w:eastAsiaTheme="minorEastAsia" w:cs="Arial"/>
      <w:noProof/>
      <w:lang w:eastAsia="en-AU"/>
    </w:rPr>
  </w:style>
  <w:style w:type="paragraph" w:styleId="TOC5">
    <w:name w:val="toc 5"/>
    <w:basedOn w:val="Normal"/>
    <w:next w:val="Normal"/>
    <w:uiPriority w:val="39"/>
    <w:rsid w:val="00652E1F"/>
    <w:pPr>
      <w:tabs>
        <w:tab w:val="left" w:pos="2126"/>
        <w:tab w:val="right" w:leader="dot" w:pos="9638"/>
      </w:tabs>
      <w:spacing w:after="60"/>
      <w:ind w:left="2127" w:hanging="1276"/>
      <w:contextualSpacing/>
    </w:pPr>
    <w:rPr>
      <w:noProof/>
      <w:szCs w:val="24"/>
    </w:rPr>
  </w:style>
  <w:style w:type="character" w:styleId="Hyperlink">
    <w:name w:val="Hyperlink"/>
    <w:uiPriority w:val="99"/>
    <w:rsid w:val="0076350D"/>
    <w:rPr>
      <w:color w:val="0000FF"/>
      <w:u w:val="single"/>
    </w:rPr>
  </w:style>
  <w:style w:type="paragraph" w:customStyle="1" w:styleId="Appendix">
    <w:name w:val="Appendix"/>
    <w:basedOn w:val="Heading1"/>
    <w:next w:val="Normal"/>
    <w:uiPriority w:val="6"/>
    <w:qFormat/>
    <w:rsid w:val="0076350D"/>
    <w:pPr>
      <w:numPr>
        <w:numId w:val="0"/>
      </w:numPr>
    </w:pPr>
  </w:style>
  <w:style w:type="paragraph" w:styleId="TOC4">
    <w:name w:val="toc 4"/>
    <w:basedOn w:val="Normal"/>
    <w:next w:val="Normal"/>
    <w:uiPriority w:val="39"/>
    <w:rsid w:val="00652E1F"/>
    <w:pPr>
      <w:tabs>
        <w:tab w:val="left" w:pos="1843"/>
        <w:tab w:val="right" w:leader="dot" w:pos="9639"/>
      </w:tabs>
      <w:spacing w:after="60"/>
      <w:ind w:left="1843" w:hanging="1134"/>
      <w:contextualSpacing/>
    </w:pPr>
    <w:rPr>
      <w:noProof/>
    </w:rPr>
  </w:style>
  <w:style w:type="character" w:styleId="PlaceholderText">
    <w:name w:val="Placeholder Text"/>
    <w:basedOn w:val="DefaultParagraphFont"/>
    <w:uiPriority w:val="99"/>
    <w:semiHidden/>
    <w:rsid w:val="0076350D"/>
    <w:rPr>
      <w:color w:val="808080"/>
    </w:rPr>
  </w:style>
  <w:style w:type="paragraph" w:styleId="TOCHeading">
    <w:name w:val="TOC Heading"/>
    <w:basedOn w:val="Heading1"/>
    <w:next w:val="Normal"/>
    <w:uiPriority w:val="39"/>
    <w:semiHidden/>
    <w:rsid w:val="0076350D"/>
    <w:pPr>
      <w:numPr>
        <w:numId w:val="0"/>
      </w:numPr>
      <w:spacing w:before="480" w:after="0" w:line="276" w:lineRule="auto"/>
      <w:outlineLvl w:val="9"/>
    </w:pPr>
    <w:rPr>
      <w:kern w:val="0"/>
      <w:szCs w:val="28"/>
      <w:lang w:eastAsia="ja-JP"/>
    </w:rPr>
  </w:style>
  <w:style w:type="numbering" w:customStyle="1" w:styleId="NTGTableNumList">
    <w:name w:val="NTG Table Num List"/>
    <w:uiPriority w:val="99"/>
    <w:rsid w:val="00950B1F"/>
    <w:pPr>
      <w:numPr>
        <w:numId w:val="9"/>
      </w:numPr>
    </w:pPr>
  </w:style>
  <w:style w:type="table" w:styleId="TableGrid">
    <w:name w:val="Table Grid"/>
    <w:basedOn w:val="TableNormal"/>
    <w:uiPriority w:val="59"/>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CoverPageTitle">
    <w:name w:val="NTG Cover Page Title"/>
    <w:basedOn w:val="Normal"/>
    <w:uiPriority w:val="99"/>
    <w:rsid w:val="0076350D"/>
    <w:pPr>
      <w:tabs>
        <w:tab w:val="left" w:pos="2805"/>
      </w:tabs>
      <w:autoSpaceDE w:val="0"/>
      <w:autoSpaceDN w:val="0"/>
      <w:adjustRightInd w:val="0"/>
      <w:spacing w:before="1000" w:line="700" w:lineRule="atLeast"/>
      <w:textAlignment w:val="center"/>
    </w:pPr>
    <w:rPr>
      <w:rFonts w:ascii="Arial Black" w:eastAsiaTheme="minorHAnsi" w:hAnsi="Arial Black" w:cs="Lato Black"/>
      <w:color w:val="CB6015"/>
      <w:sz w:val="66"/>
      <w:szCs w:val="66"/>
      <w:lang w:val="en-GB"/>
    </w:rPr>
  </w:style>
  <w:style w:type="paragraph" w:customStyle="1" w:styleId="Footerspacing">
    <w:name w:val="Footer spacing"/>
    <w:semiHidden/>
    <w:rsid w:val="0076350D"/>
    <w:rPr>
      <w:rFonts w:cs="Arial"/>
      <w:sz w:val="6"/>
      <w:szCs w:val="6"/>
    </w:rPr>
  </w:style>
  <w:style w:type="paragraph" w:customStyle="1" w:styleId="NTGCoverPageVersion">
    <w:name w:val="NTG Cover Page Version"/>
    <w:rsid w:val="0076350D"/>
    <w:rPr>
      <w:rFonts w:eastAsia="Times New Roman"/>
      <w:sz w:val="28"/>
      <w:lang w:eastAsia="en-AU"/>
    </w:rPr>
  </w:style>
  <w:style w:type="character" w:customStyle="1" w:styleId="Heading7Char">
    <w:name w:val="Heading 7 Char"/>
    <w:basedOn w:val="DefaultParagraphFont"/>
    <w:link w:val="Heading7"/>
    <w:uiPriority w:val="9"/>
    <w:rsid w:val="0093401B"/>
    <w:rPr>
      <w:b/>
      <w:color w:val="000000" w:themeColor="text1"/>
    </w:rPr>
  </w:style>
  <w:style w:type="paragraph" w:customStyle="1" w:styleId="NTGFooterDateVersion">
    <w:name w:val="NTG Footer Date &amp; Version"/>
    <w:basedOn w:val="Normal"/>
    <w:link w:val="NTGFooterDateVersionChar"/>
    <w:rsid w:val="0076350D"/>
    <w:pPr>
      <w:widowControl w:val="0"/>
      <w:tabs>
        <w:tab w:val="right" w:pos="9026"/>
      </w:tabs>
      <w:spacing w:after="240"/>
    </w:pPr>
    <w:rPr>
      <w:rFonts w:cs="Arial"/>
      <w:sz w:val="20"/>
      <w:szCs w:val="16"/>
    </w:rPr>
  </w:style>
  <w:style w:type="paragraph" w:customStyle="1" w:styleId="NTGFooterDepartmentandPagenumber">
    <w:name w:val="NTG Footer Department and Page number"/>
    <w:basedOn w:val="Normal"/>
    <w:link w:val="NTGFooterDepartmentandPagenumberChar"/>
    <w:rsid w:val="0076350D"/>
    <w:pPr>
      <w:widowControl w:val="0"/>
      <w:tabs>
        <w:tab w:val="right" w:pos="9026"/>
      </w:tabs>
      <w:spacing w:after="0"/>
    </w:pPr>
    <w:rPr>
      <w:rFonts w:cs="Arial"/>
      <w:sz w:val="20"/>
      <w:szCs w:val="16"/>
    </w:rPr>
  </w:style>
  <w:style w:type="paragraph" w:customStyle="1" w:styleId="NTGFooterDepartmentof">
    <w:name w:val="NTG Footer Department of"/>
    <w:basedOn w:val="Normal"/>
    <w:link w:val="NTGFooterDepartmentofChar"/>
    <w:rsid w:val="0076350D"/>
    <w:pPr>
      <w:widowControl w:val="0"/>
      <w:tabs>
        <w:tab w:val="right" w:pos="9026"/>
      </w:tabs>
      <w:spacing w:after="0"/>
    </w:pPr>
    <w:rPr>
      <w:rFonts w:cs="Arial"/>
      <w:caps/>
      <w:sz w:val="20"/>
      <w:szCs w:val="16"/>
    </w:rPr>
  </w:style>
  <w:style w:type="paragraph" w:customStyle="1" w:styleId="NTGFooterDepartmentName">
    <w:name w:val="NTG Footer Department Name"/>
    <w:basedOn w:val="Normal"/>
    <w:link w:val="NTGFooterDepartmentNameChar"/>
    <w:uiPriority w:val="1"/>
    <w:rsid w:val="0076350D"/>
    <w:pPr>
      <w:widowControl w:val="0"/>
      <w:tabs>
        <w:tab w:val="right" w:pos="9026"/>
      </w:tabs>
      <w:spacing w:after="0"/>
    </w:pPr>
    <w:rPr>
      <w:rFonts w:ascii="Arial Black" w:hAnsi="Arial Black" w:cs="Arial"/>
      <w:caps/>
      <w:sz w:val="20"/>
      <w:szCs w:val="16"/>
    </w:rPr>
  </w:style>
  <w:style w:type="character" w:customStyle="1" w:styleId="NTGFooterDateVersionChar">
    <w:name w:val="NTG Footer Date &amp; Version Char"/>
    <w:basedOn w:val="DefaultParagraphFont"/>
    <w:link w:val="NTGFooterDateVersion"/>
    <w:rsid w:val="0076350D"/>
    <w:rPr>
      <w:rFonts w:cs="Arial"/>
      <w:sz w:val="20"/>
      <w:szCs w:val="16"/>
    </w:rPr>
  </w:style>
  <w:style w:type="character" w:customStyle="1" w:styleId="NTGFooterDepartmentofChar">
    <w:name w:val="NTG Footer Department of Char"/>
    <w:basedOn w:val="DefaultParagraphFont"/>
    <w:link w:val="NTGFooterDepartmentof"/>
    <w:rsid w:val="0076350D"/>
    <w:rPr>
      <w:rFonts w:cs="Arial"/>
      <w:caps/>
      <w:sz w:val="20"/>
      <w:szCs w:val="16"/>
    </w:rPr>
  </w:style>
  <w:style w:type="character" w:customStyle="1" w:styleId="NTGFooterDepartmentandPagenumberChar">
    <w:name w:val="NTG Footer Department and Page number Char"/>
    <w:basedOn w:val="DefaultParagraphFont"/>
    <w:link w:val="NTGFooterDepartmentandPagenumber"/>
    <w:rsid w:val="0076350D"/>
    <w:rPr>
      <w:rFonts w:cs="Arial"/>
      <w:sz w:val="20"/>
      <w:szCs w:val="16"/>
    </w:rPr>
  </w:style>
  <w:style w:type="character" w:customStyle="1" w:styleId="NTGFooterDepartmentNameChar">
    <w:name w:val="NTG Footer Department Name Char"/>
    <w:basedOn w:val="NTGFooterDepartmentofChar"/>
    <w:link w:val="NTGFooterDepartmentName"/>
    <w:uiPriority w:val="1"/>
    <w:rsid w:val="0076350D"/>
    <w:rPr>
      <w:rFonts w:ascii="Arial Black" w:hAnsi="Arial Black" w:cs="Arial"/>
      <w:caps/>
      <w:sz w:val="20"/>
      <w:szCs w:val="16"/>
    </w:rPr>
  </w:style>
  <w:style w:type="paragraph" w:styleId="FootnoteText">
    <w:name w:val="footnote text"/>
    <w:basedOn w:val="Normal"/>
    <w:link w:val="FootnoteTextChar"/>
    <w:uiPriority w:val="99"/>
    <w:semiHidden/>
    <w:rsid w:val="0076350D"/>
    <w:pPr>
      <w:spacing w:after="0"/>
    </w:pPr>
    <w:rPr>
      <w:sz w:val="20"/>
    </w:rPr>
  </w:style>
  <w:style w:type="character" w:customStyle="1" w:styleId="FootnoteTextChar">
    <w:name w:val="Footnote Text Char"/>
    <w:basedOn w:val="DefaultParagraphFont"/>
    <w:link w:val="FootnoteText"/>
    <w:uiPriority w:val="99"/>
    <w:semiHidden/>
    <w:rsid w:val="0076350D"/>
    <w:rPr>
      <w:sz w:val="20"/>
    </w:rPr>
  </w:style>
  <w:style w:type="character" w:styleId="FootnoteReference">
    <w:name w:val="footnote reference"/>
    <w:basedOn w:val="DefaultParagraphFont"/>
    <w:uiPriority w:val="99"/>
    <w:semiHidden/>
    <w:rsid w:val="0076350D"/>
    <w:rPr>
      <w:vertAlign w:val="superscript"/>
    </w:rPr>
  </w:style>
  <w:style w:type="paragraph" w:styleId="ListBullet2">
    <w:name w:val="List Bullet 2"/>
    <w:basedOn w:val="Normal"/>
    <w:uiPriority w:val="99"/>
    <w:rsid w:val="00950B1F"/>
    <w:pPr>
      <w:numPr>
        <w:ilvl w:val="1"/>
        <w:numId w:val="11"/>
      </w:numPr>
      <w:spacing w:after="120"/>
    </w:pPr>
  </w:style>
  <w:style w:type="paragraph" w:styleId="ListBullet">
    <w:name w:val="List Bullet"/>
    <w:basedOn w:val="Normal"/>
    <w:uiPriority w:val="99"/>
    <w:rsid w:val="00950B1F"/>
    <w:pPr>
      <w:numPr>
        <w:numId w:val="11"/>
      </w:numPr>
      <w:spacing w:after="120"/>
    </w:pPr>
  </w:style>
  <w:style w:type="paragraph" w:styleId="ListBullet3">
    <w:name w:val="List Bullet 3"/>
    <w:basedOn w:val="Normal"/>
    <w:uiPriority w:val="99"/>
    <w:rsid w:val="00950B1F"/>
    <w:pPr>
      <w:numPr>
        <w:ilvl w:val="2"/>
        <w:numId w:val="11"/>
      </w:numPr>
      <w:spacing w:after="120"/>
    </w:pPr>
  </w:style>
  <w:style w:type="table" w:customStyle="1" w:styleId="NTGTable">
    <w:name w:val="NTG Table"/>
    <w:basedOn w:val="TableGrid"/>
    <w:uiPriority w:val="99"/>
    <w:rsid w:val="006D47EC"/>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Heading8Char">
    <w:name w:val="Heading 8 Char"/>
    <w:basedOn w:val="DefaultParagraphFont"/>
    <w:link w:val="Heading8"/>
    <w:uiPriority w:val="9"/>
    <w:rsid w:val="0093401B"/>
    <w:rPr>
      <w:b/>
      <w:color w:val="606060"/>
    </w:rPr>
  </w:style>
  <w:style w:type="table" w:styleId="TableTheme">
    <w:name w:val="Table Theme"/>
    <w:basedOn w:val="TableNormal"/>
    <w:uiPriority w:val="99"/>
    <w:semiHidden/>
    <w:unhideWhenUsed/>
    <w:rsid w:val="0076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93401B"/>
    <w:rPr>
      <w:b/>
      <w:color w:val="000000" w:themeColor="text1"/>
    </w:rPr>
  </w:style>
  <w:style w:type="numbering" w:customStyle="1" w:styleId="NTGTableList">
    <w:name w:val="NTG Table List"/>
    <w:uiPriority w:val="99"/>
    <w:rsid w:val="00950B1F"/>
    <w:pPr>
      <w:numPr>
        <w:numId w:val="8"/>
      </w:numPr>
    </w:pPr>
  </w:style>
  <w:style w:type="numbering" w:customStyle="1" w:styleId="NTGStandardNumList">
    <w:name w:val="NTG Standard Num List"/>
    <w:uiPriority w:val="99"/>
    <w:rsid w:val="00950B1F"/>
    <w:pPr>
      <w:numPr>
        <w:numId w:val="7"/>
      </w:numPr>
    </w:pPr>
  </w:style>
  <w:style w:type="paragraph" w:styleId="ListBullet4">
    <w:name w:val="List Bullet 4"/>
    <w:basedOn w:val="Normal"/>
    <w:uiPriority w:val="99"/>
    <w:rsid w:val="00950B1F"/>
    <w:pPr>
      <w:numPr>
        <w:ilvl w:val="3"/>
        <w:numId w:val="11"/>
      </w:numPr>
      <w:spacing w:after="120"/>
    </w:pPr>
  </w:style>
  <w:style w:type="paragraph" w:styleId="ListBullet5">
    <w:name w:val="List Bullet 5"/>
    <w:basedOn w:val="Normal"/>
    <w:uiPriority w:val="99"/>
    <w:rsid w:val="00950B1F"/>
    <w:pPr>
      <w:numPr>
        <w:ilvl w:val="4"/>
        <w:numId w:val="11"/>
      </w:numPr>
    </w:pPr>
  </w:style>
  <w:style w:type="paragraph" w:styleId="ListNumber">
    <w:name w:val="List Number"/>
    <w:basedOn w:val="Normal"/>
    <w:uiPriority w:val="99"/>
    <w:qFormat/>
    <w:rsid w:val="00950B1F"/>
    <w:pPr>
      <w:numPr>
        <w:numId w:val="7"/>
      </w:numPr>
      <w:spacing w:after="120"/>
    </w:pPr>
  </w:style>
  <w:style w:type="paragraph" w:styleId="ListNumber2">
    <w:name w:val="List Number 2"/>
    <w:basedOn w:val="Normal"/>
    <w:uiPriority w:val="99"/>
    <w:rsid w:val="00950B1F"/>
    <w:pPr>
      <w:numPr>
        <w:ilvl w:val="1"/>
        <w:numId w:val="7"/>
      </w:numPr>
      <w:spacing w:after="120"/>
    </w:pPr>
  </w:style>
  <w:style w:type="paragraph" w:styleId="ListNumber3">
    <w:name w:val="List Number 3"/>
    <w:basedOn w:val="Normal"/>
    <w:uiPriority w:val="99"/>
    <w:rsid w:val="00950B1F"/>
    <w:pPr>
      <w:numPr>
        <w:ilvl w:val="2"/>
        <w:numId w:val="7"/>
      </w:numPr>
      <w:spacing w:after="120"/>
    </w:pPr>
  </w:style>
  <w:style w:type="paragraph" w:styleId="ListNumber4">
    <w:name w:val="List Number 4"/>
    <w:basedOn w:val="Normal"/>
    <w:uiPriority w:val="99"/>
    <w:rsid w:val="00950B1F"/>
    <w:pPr>
      <w:numPr>
        <w:ilvl w:val="3"/>
        <w:numId w:val="7"/>
      </w:numPr>
      <w:spacing w:after="120"/>
    </w:pPr>
  </w:style>
  <w:style w:type="paragraph" w:styleId="ListNumber5">
    <w:name w:val="List Number 5"/>
    <w:basedOn w:val="Normal"/>
    <w:uiPriority w:val="99"/>
    <w:rsid w:val="00950B1F"/>
    <w:pPr>
      <w:numPr>
        <w:ilvl w:val="4"/>
        <w:numId w:val="7"/>
      </w:numPr>
      <w:spacing w:after="120"/>
    </w:pPr>
  </w:style>
  <w:style w:type="paragraph" w:styleId="TOC6">
    <w:name w:val="toc 6"/>
    <w:basedOn w:val="Normal"/>
    <w:next w:val="Normal"/>
    <w:uiPriority w:val="39"/>
    <w:rsid w:val="00652E1F"/>
    <w:pPr>
      <w:tabs>
        <w:tab w:val="left" w:pos="2410"/>
        <w:tab w:val="right" w:leader="dot" w:pos="9639"/>
      </w:tabs>
      <w:spacing w:after="60"/>
      <w:ind w:left="2410" w:hanging="1418"/>
      <w:contextualSpacing/>
    </w:pPr>
    <w:rPr>
      <w:noProof/>
    </w:rPr>
  </w:style>
  <w:style w:type="paragraph" w:styleId="TOC7">
    <w:name w:val="toc 7"/>
    <w:basedOn w:val="Normal"/>
    <w:next w:val="Normal"/>
    <w:uiPriority w:val="39"/>
    <w:rsid w:val="00652E1F"/>
    <w:pPr>
      <w:tabs>
        <w:tab w:val="left" w:pos="2693"/>
        <w:tab w:val="right" w:leader="dot" w:pos="9639"/>
      </w:tabs>
      <w:spacing w:after="60"/>
      <w:ind w:left="2693" w:hanging="1559"/>
      <w:contextualSpacing/>
    </w:pPr>
    <w:rPr>
      <w:noProof/>
    </w:rPr>
  </w:style>
  <w:style w:type="paragraph" w:styleId="TOC8">
    <w:name w:val="toc 8"/>
    <w:basedOn w:val="Normal"/>
    <w:next w:val="Normal"/>
    <w:uiPriority w:val="39"/>
    <w:rsid w:val="00652E1F"/>
    <w:pPr>
      <w:tabs>
        <w:tab w:val="left" w:pos="3119"/>
        <w:tab w:val="right" w:leader="dot" w:pos="9639"/>
      </w:tabs>
      <w:spacing w:after="60"/>
      <w:ind w:left="3119" w:hanging="1843"/>
      <w:contextualSpacing/>
    </w:pPr>
    <w:rPr>
      <w:noProof/>
    </w:rPr>
  </w:style>
  <w:style w:type="paragraph" w:styleId="TOC9">
    <w:name w:val="toc 9"/>
    <w:basedOn w:val="Normal"/>
    <w:next w:val="Normal"/>
    <w:uiPriority w:val="39"/>
    <w:rsid w:val="00652E1F"/>
    <w:pPr>
      <w:tabs>
        <w:tab w:val="left" w:pos="3402"/>
        <w:tab w:val="right" w:leader="dot" w:pos="9639"/>
      </w:tabs>
      <w:spacing w:after="100"/>
      <w:ind w:left="3403" w:hanging="1985"/>
    </w:pPr>
    <w:rPr>
      <w:noProof/>
    </w:rPr>
  </w:style>
  <w:style w:type="paragraph" w:styleId="BlockText">
    <w:name w:val="Block Text"/>
    <w:basedOn w:val="Normal"/>
    <w:semiHidden/>
    <w:unhideWhenUsed/>
    <w:qFormat/>
    <w:rsid w:val="0027738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customStyle="1" w:styleId="NTGTableBulletList1">
    <w:name w:val="NTG Table Bullet List 1"/>
    <w:semiHidden/>
    <w:qFormat/>
    <w:rsid w:val="00950B1F"/>
    <w:pPr>
      <w:numPr>
        <w:numId w:val="12"/>
      </w:numPr>
      <w:spacing w:after="20"/>
    </w:pPr>
  </w:style>
  <w:style w:type="paragraph" w:customStyle="1" w:styleId="NTGTableBulletList2">
    <w:name w:val="NTG Table Bullet List 2"/>
    <w:basedOn w:val="NTGTableBulletList1"/>
    <w:semiHidden/>
    <w:qFormat/>
    <w:rsid w:val="00950B1F"/>
    <w:pPr>
      <w:numPr>
        <w:ilvl w:val="1"/>
      </w:numPr>
    </w:pPr>
  </w:style>
  <w:style w:type="paragraph" w:customStyle="1" w:styleId="NTGTableBulletList3">
    <w:name w:val="NTG Table Bullet List 3"/>
    <w:basedOn w:val="NTGTableBulletList2"/>
    <w:semiHidden/>
    <w:qFormat/>
    <w:rsid w:val="00950B1F"/>
    <w:pPr>
      <w:numPr>
        <w:ilvl w:val="2"/>
      </w:numPr>
    </w:pPr>
  </w:style>
  <w:style w:type="paragraph" w:customStyle="1" w:styleId="NTGTableBulletList4">
    <w:name w:val="NTG Table Bullet List 4"/>
    <w:basedOn w:val="NTGTableBulletList3"/>
    <w:semiHidden/>
    <w:qFormat/>
    <w:rsid w:val="00950B1F"/>
    <w:pPr>
      <w:numPr>
        <w:ilvl w:val="3"/>
      </w:numPr>
    </w:pPr>
  </w:style>
  <w:style w:type="paragraph" w:customStyle="1" w:styleId="NTGTableBulletList5">
    <w:name w:val="NTG Table Bullet List 5"/>
    <w:basedOn w:val="NTGTableBulletList4"/>
    <w:semiHidden/>
    <w:qFormat/>
    <w:rsid w:val="00950B1F"/>
    <w:pPr>
      <w:numPr>
        <w:ilvl w:val="4"/>
      </w:numPr>
    </w:pPr>
  </w:style>
  <w:style w:type="paragraph" w:customStyle="1" w:styleId="NTGTableBulletList6">
    <w:name w:val="NTG Table Bullet List 6"/>
    <w:basedOn w:val="NTGTableBulletList5"/>
    <w:semiHidden/>
    <w:qFormat/>
    <w:rsid w:val="00950B1F"/>
    <w:pPr>
      <w:numPr>
        <w:ilvl w:val="5"/>
      </w:numPr>
    </w:pPr>
  </w:style>
  <w:style w:type="paragraph" w:customStyle="1" w:styleId="NTGTableBulletList7">
    <w:name w:val="NTG Table Bullet List 7"/>
    <w:basedOn w:val="NTGTableBulletList6"/>
    <w:semiHidden/>
    <w:qFormat/>
    <w:rsid w:val="00950B1F"/>
    <w:pPr>
      <w:numPr>
        <w:ilvl w:val="6"/>
      </w:numPr>
    </w:pPr>
  </w:style>
  <w:style w:type="paragraph" w:customStyle="1" w:styleId="NTGTableBulletList8">
    <w:name w:val="NTG Table Bullet List 8"/>
    <w:basedOn w:val="NTGTableBulletList7"/>
    <w:semiHidden/>
    <w:qFormat/>
    <w:rsid w:val="00950B1F"/>
    <w:pPr>
      <w:numPr>
        <w:ilvl w:val="7"/>
      </w:numPr>
    </w:pPr>
  </w:style>
  <w:style w:type="paragraph" w:customStyle="1" w:styleId="NTGTableBulletList9">
    <w:name w:val="NTG Table Bullet List 9"/>
    <w:basedOn w:val="NTGTableBulletList8"/>
    <w:semiHidden/>
    <w:qFormat/>
    <w:rsid w:val="00950B1F"/>
    <w:pPr>
      <w:numPr>
        <w:ilvl w:val="8"/>
      </w:numPr>
    </w:pPr>
  </w:style>
  <w:style w:type="paragraph" w:customStyle="1" w:styleId="NTGTableNumList1">
    <w:name w:val="NTG Table Num List 1"/>
    <w:semiHidden/>
    <w:qFormat/>
    <w:rsid w:val="00950B1F"/>
    <w:pPr>
      <w:numPr>
        <w:numId w:val="10"/>
      </w:numPr>
      <w:spacing w:after="20"/>
    </w:pPr>
  </w:style>
  <w:style w:type="paragraph" w:customStyle="1" w:styleId="NTGTableNumList2">
    <w:name w:val="NTG Table Num List 2"/>
    <w:basedOn w:val="NTGTableNumList1"/>
    <w:semiHidden/>
    <w:qFormat/>
    <w:rsid w:val="00950B1F"/>
    <w:pPr>
      <w:numPr>
        <w:ilvl w:val="1"/>
      </w:numPr>
    </w:pPr>
  </w:style>
  <w:style w:type="paragraph" w:customStyle="1" w:styleId="NTGTableNumList3">
    <w:name w:val="NTG Table Num List 3"/>
    <w:basedOn w:val="NTGTableNumList2"/>
    <w:semiHidden/>
    <w:qFormat/>
    <w:rsid w:val="00950B1F"/>
    <w:pPr>
      <w:numPr>
        <w:ilvl w:val="2"/>
      </w:numPr>
    </w:pPr>
  </w:style>
  <w:style w:type="paragraph" w:customStyle="1" w:styleId="NTGTableNumList4">
    <w:name w:val="NTG Table Num List 4"/>
    <w:basedOn w:val="NTGTableNumList3"/>
    <w:semiHidden/>
    <w:qFormat/>
    <w:rsid w:val="00950B1F"/>
    <w:pPr>
      <w:numPr>
        <w:ilvl w:val="3"/>
      </w:numPr>
    </w:pPr>
  </w:style>
  <w:style w:type="paragraph" w:customStyle="1" w:styleId="NTGTableNumList5">
    <w:name w:val="NTG Table Num List 5"/>
    <w:basedOn w:val="NTGTableNumList4"/>
    <w:semiHidden/>
    <w:qFormat/>
    <w:rsid w:val="00950B1F"/>
    <w:pPr>
      <w:numPr>
        <w:ilvl w:val="4"/>
      </w:numPr>
    </w:pPr>
  </w:style>
  <w:style w:type="paragraph" w:customStyle="1" w:styleId="NTGTableNumList6">
    <w:name w:val="NTG Table Num List 6"/>
    <w:basedOn w:val="NTGTableNumList5"/>
    <w:semiHidden/>
    <w:qFormat/>
    <w:rsid w:val="00950B1F"/>
    <w:pPr>
      <w:numPr>
        <w:ilvl w:val="5"/>
      </w:numPr>
    </w:pPr>
  </w:style>
  <w:style w:type="paragraph" w:customStyle="1" w:styleId="NTGTableNumList7">
    <w:name w:val="NTG Table Num List 7"/>
    <w:basedOn w:val="NTGTableNumList6"/>
    <w:semiHidden/>
    <w:qFormat/>
    <w:rsid w:val="00950B1F"/>
    <w:pPr>
      <w:numPr>
        <w:ilvl w:val="6"/>
      </w:numPr>
    </w:pPr>
  </w:style>
  <w:style w:type="paragraph" w:customStyle="1" w:styleId="NTGTableNumList8">
    <w:name w:val="NTG Table Num List 8"/>
    <w:basedOn w:val="NTGTableNumList7"/>
    <w:semiHidden/>
    <w:qFormat/>
    <w:rsid w:val="00950B1F"/>
    <w:pPr>
      <w:numPr>
        <w:ilvl w:val="7"/>
      </w:numPr>
    </w:pPr>
  </w:style>
  <w:style w:type="paragraph" w:customStyle="1" w:styleId="NTGTableNumList9">
    <w:name w:val="NTG Table Num List 9"/>
    <w:basedOn w:val="NTGTableNumList8"/>
    <w:semiHidden/>
    <w:qFormat/>
    <w:rsid w:val="00950B1F"/>
    <w:pPr>
      <w:numPr>
        <w:ilvl w:val="8"/>
      </w:numPr>
    </w:pPr>
  </w:style>
  <w:style w:type="paragraph" w:styleId="BalloonText">
    <w:name w:val="Balloon Text"/>
    <w:basedOn w:val="Normal"/>
    <w:link w:val="BalloonTextChar"/>
    <w:uiPriority w:val="99"/>
    <w:semiHidden/>
    <w:unhideWhenUsed/>
    <w:rsid w:val="00550AF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AF5"/>
    <w:rPr>
      <w:rFonts w:ascii="Segoe UI" w:hAnsi="Segoe UI" w:cs="Segoe UI"/>
      <w:sz w:val="18"/>
      <w:szCs w:val="18"/>
    </w:rPr>
  </w:style>
  <w:style w:type="paragraph" w:customStyle="1" w:styleId="Highlight">
    <w:name w:val="Highlight"/>
    <w:basedOn w:val="Normal"/>
    <w:next w:val="Normal"/>
    <w:qFormat/>
    <w:rsid w:val="000768FB"/>
    <w:rPr>
      <w:b/>
      <w:color w:val="C6600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605958">
      <w:bodyDiv w:val="1"/>
      <w:marLeft w:val="0"/>
      <w:marRight w:val="0"/>
      <w:marTop w:val="0"/>
      <w:marBottom w:val="0"/>
      <w:divBdr>
        <w:top w:val="none" w:sz="0" w:space="0" w:color="auto"/>
        <w:left w:val="none" w:sz="0" w:space="0" w:color="auto"/>
        <w:bottom w:val="none" w:sz="0" w:space="0" w:color="auto"/>
        <w:right w:val="none" w:sz="0" w:space="0" w:color="auto"/>
      </w:divBdr>
    </w:div>
    <w:div w:id="493225607">
      <w:bodyDiv w:val="1"/>
      <w:marLeft w:val="0"/>
      <w:marRight w:val="0"/>
      <w:marTop w:val="0"/>
      <w:marBottom w:val="0"/>
      <w:divBdr>
        <w:top w:val="none" w:sz="0" w:space="0" w:color="auto"/>
        <w:left w:val="none" w:sz="0" w:space="0" w:color="auto"/>
        <w:bottom w:val="none" w:sz="0" w:space="0" w:color="auto"/>
        <w:right w:val="none" w:sz="0" w:space="0" w:color="auto"/>
      </w:divBdr>
    </w:div>
    <w:div w:id="601884590">
      <w:bodyDiv w:val="1"/>
      <w:marLeft w:val="0"/>
      <w:marRight w:val="0"/>
      <w:marTop w:val="0"/>
      <w:marBottom w:val="0"/>
      <w:divBdr>
        <w:top w:val="none" w:sz="0" w:space="0" w:color="auto"/>
        <w:left w:val="none" w:sz="0" w:space="0" w:color="auto"/>
        <w:bottom w:val="none" w:sz="0" w:space="0" w:color="auto"/>
        <w:right w:val="none" w:sz="0" w:space="0" w:color="auto"/>
      </w:divBdr>
    </w:div>
    <w:div w:id="611401889">
      <w:bodyDiv w:val="1"/>
      <w:marLeft w:val="0"/>
      <w:marRight w:val="0"/>
      <w:marTop w:val="0"/>
      <w:marBottom w:val="0"/>
      <w:divBdr>
        <w:top w:val="none" w:sz="0" w:space="0" w:color="auto"/>
        <w:left w:val="none" w:sz="0" w:space="0" w:color="auto"/>
        <w:bottom w:val="none" w:sz="0" w:space="0" w:color="auto"/>
        <w:right w:val="none" w:sz="0" w:space="0" w:color="auto"/>
      </w:divBdr>
    </w:div>
    <w:div w:id="655643328">
      <w:bodyDiv w:val="1"/>
      <w:marLeft w:val="0"/>
      <w:marRight w:val="0"/>
      <w:marTop w:val="0"/>
      <w:marBottom w:val="0"/>
      <w:divBdr>
        <w:top w:val="none" w:sz="0" w:space="0" w:color="auto"/>
        <w:left w:val="none" w:sz="0" w:space="0" w:color="auto"/>
        <w:bottom w:val="none" w:sz="0" w:space="0" w:color="auto"/>
        <w:right w:val="none" w:sz="0" w:space="0" w:color="auto"/>
      </w:divBdr>
    </w:div>
    <w:div w:id="668289413">
      <w:bodyDiv w:val="1"/>
      <w:marLeft w:val="0"/>
      <w:marRight w:val="0"/>
      <w:marTop w:val="0"/>
      <w:marBottom w:val="0"/>
      <w:divBdr>
        <w:top w:val="none" w:sz="0" w:space="0" w:color="auto"/>
        <w:left w:val="none" w:sz="0" w:space="0" w:color="auto"/>
        <w:bottom w:val="none" w:sz="0" w:space="0" w:color="auto"/>
        <w:right w:val="none" w:sz="0" w:space="0" w:color="auto"/>
      </w:divBdr>
    </w:div>
    <w:div w:id="674579149">
      <w:bodyDiv w:val="1"/>
      <w:marLeft w:val="0"/>
      <w:marRight w:val="0"/>
      <w:marTop w:val="0"/>
      <w:marBottom w:val="0"/>
      <w:divBdr>
        <w:top w:val="none" w:sz="0" w:space="0" w:color="auto"/>
        <w:left w:val="none" w:sz="0" w:space="0" w:color="auto"/>
        <w:bottom w:val="none" w:sz="0" w:space="0" w:color="auto"/>
        <w:right w:val="none" w:sz="0" w:space="0" w:color="auto"/>
      </w:divBdr>
    </w:div>
    <w:div w:id="906382335">
      <w:bodyDiv w:val="1"/>
      <w:marLeft w:val="0"/>
      <w:marRight w:val="0"/>
      <w:marTop w:val="0"/>
      <w:marBottom w:val="0"/>
      <w:divBdr>
        <w:top w:val="none" w:sz="0" w:space="0" w:color="auto"/>
        <w:left w:val="none" w:sz="0" w:space="0" w:color="auto"/>
        <w:bottom w:val="none" w:sz="0" w:space="0" w:color="auto"/>
        <w:right w:val="none" w:sz="0" w:space="0" w:color="auto"/>
      </w:divBdr>
    </w:div>
    <w:div w:id="963924445">
      <w:bodyDiv w:val="1"/>
      <w:marLeft w:val="0"/>
      <w:marRight w:val="0"/>
      <w:marTop w:val="0"/>
      <w:marBottom w:val="0"/>
      <w:divBdr>
        <w:top w:val="none" w:sz="0" w:space="0" w:color="auto"/>
        <w:left w:val="none" w:sz="0" w:space="0" w:color="auto"/>
        <w:bottom w:val="none" w:sz="0" w:space="0" w:color="auto"/>
        <w:right w:val="none" w:sz="0" w:space="0" w:color="auto"/>
      </w:divBdr>
    </w:div>
    <w:div w:id="974019413">
      <w:bodyDiv w:val="1"/>
      <w:marLeft w:val="0"/>
      <w:marRight w:val="0"/>
      <w:marTop w:val="0"/>
      <w:marBottom w:val="0"/>
      <w:divBdr>
        <w:top w:val="none" w:sz="0" w:space="0" w:color="auto"/>
        <w:left w:val="none" w:sz="0" w:space="0" w:color="auto"/>
        <w:bottom w:val="none" w:sz="0" w:space="0" w:color="auto"/>
        <w:right w:val="none" w:sz="0" w:space="0" w:color="auto"/>
      </w:divBdr>
    </w:div>
    <w:div w:id="978997533">
      <w:bodyDiv w:val="1"/>
      <w:marLeft w:val="0"/>
      <w:marRight w:val="0"/>
      <w:marTop w:val="0"/>
      <w:marBottom w:val="0"/>
      <w:divBdr>
        <w:top w:val="none" w:sz="0" w:space="0" w:color="auto"/>
        <w:left w:val="none" w:sz="0" w:space="0" w:color="auto"/>
        <w:bottom w:val="none" w:sz="0" w:space="0" w:color="auto"/>
        <w:right w:val="none" w:sz="0" w:space="0" w:color="auto"/>
      </w:divBdr>
    </w:div>
    <w:div w:id="1047336279">
      <w:bodyDiv w:val="1"/>
      <w:marLeft w:val="0"/>
      <w:marRight w:val="0"/>
      <w:marTop w:val="0"/>
      <w:marBottom w:val="0"/>
      <w:divBdr>
        <w:top w:val="none" w:sz="0" w:space="0" w:color="auto"/>
        <w:left w:val="none" w:sz="0" w:space="0" w:color="auto"/>
        <w:bottom w:val="none" w:sz="0" w:space="0" w:color="auto"/>
        <w:right w:val="none" w:sz="0" w:space="0" w:color="auto"/>
      </w:divBdr>
    </w:div>
    <w:div w:id="1250041167">
      <w:bodyDiv w:val="1"/>
      <w:marLeft w:val="0"/>
      <w:marRight w:val="0"/>
      <w:marTop w:val="0"/>
      <w:marBottom w:val="0"/>
      <w:divBdr>
        <w:top w:val="none" w:sz="0" w:space="0" w:color="auto"/>
        <w:left w:val="none" w:sz="0" w:space="0" w:color="auto"/>
        <w:bottom w:val="none" w:sz="0" w:space="0" w:color="auto"/>
        <w:right w:val="none" w:sz="0" w:space="0" w:color="auto"/>
      </w:divBdr>
    </w:div>
    <w:div w:id="1272319030">
      <w:bodyDiv w:val="1"/>
      <w:marLeft w:val="0"/>
      <w:marRight w:val="0"/>
      <w:marTop w:val="0"/>
      <w:marBottom w:val="0"/>
      <w:divBdr>
        <w:top w:val="none" w:sz="0" w:space="0" w:color="auto"/>
        <w:left w:val="none" w:sz="0" w:space="0" w:color="auto"/>
        <w:bottom w:val="none" w:sz="0" w:space="0" w:color="auto"/>
        <w:right w:val="none" w:sz="0" w:space="0" w:color="auto"/>
      </w:divBdr>
    </w:div>
    <w:div w:id="1380084715">
      <w:bodyDiv w:val="1"/>
      <w:marLeft w:val="0"/>
      <w:marRight w:val="0"/>
      <w:marTop w:val="0"/>
      <w:marBottom w:val="0"/>
      <w:divBdr>
        <w:top w:val="none" w:sz="0" w:space="0" w:color="auto"/>
        <w:left w:val="none" w:sz="0" w:space="0" w:color="auto"/>
        <w:bottom w:val="none" w:sz="0" w:space="0" w:color="auto"/>
        <w:right w:val="none" w:sz="0" w:space="0" w:color="auto"/>
      </w:divBdr>
    </w:div>
    <w:div w:id="1381400418">
      <w:bodyDiv w:val="1"/>
      <w:marLeft w:val="0"/>
      <w:marRight w:val="0"/>
      <w:marTop w:val="0"/>
      <w:marBottom w:val="0"/>
      <w:divBdr>
        <w:top w:val="none" w:sz="0" w:space="0" w:color="auto"/>
        <w:left w:val="none" w:sz="0" w:space="0" w:color="auto"/>
        <w:bottom w:val="none" w:sz="0" w:space="0" w:color="auto"/>
        <w:right w:val="none" w:sz="0" w:space="0" w:color="auto"/>
      </w:divBdr>
    </w:div>
    <w:div w:id="1408766393">
      <w:bodyDiv w:val="1"/>
      <w:marLeft w:val="0"/>
      <w:marRight w:val="0"/>
      <w:marTop w:val="0"/>
      <w:marBottom w:val="0"/>
      <w:divBdr>
        <w:top w:val="none" w:sz="0" w:space="0" w:color="auto"/>
        <w:left w:val="none" w:sz="0" w:space="0" w:color="auto"/>
        <w:bottom w:val="none" w:sz="0" w:space="0" w:color="auto"/>
        <w:right w:val="none" w:sz="0" w:space="0" w:color="auto"/>
      </w:divBdr>
    </w:div>
    <w:div w:id="1504854652">
      <w:bodyDiv w:val="1"/>
      <w:marLeft w:val="0"/>
      <w:marRight w:val="0"/>
      <w:marTop w:val="0"/>
      <w:marBottom w:val="0"/>
      <w:divBdr>
        <w:top w:val="none" w:sz="0" w:space="0" w:color="auto"/>
        <w:left w:val="none" w:sz="0" w:space="0" w:color="auto"/>
        <w:bottom w:val="none" w:sz="0" w:space="0" w:color="auto"/>
        <w:right w:val="none" w:sz="0" w:space="0" w:color="auto"/>
      </w:divBdr>
    </w:div>
    <w:div w:id="1859734192">
      <w:bodyDiv w:val="1"/>
      <w:marLeft w:val="0"/>
      <w:marRight w:val="0"/>
      <w:marTop w:val="0"/>
      <w:marBottom w:val="0"/>
      <w:divBdr>
        <w:top w:val="none" w:sz="0" w:space="0" w:color="auto"/>
        <w:left w:val="none" w:sz="0" w:space="0" w:color="auto"/>
        <w:bottom w:val="none" w:sz="0" w:space="0" w:color="auto"/>
        <w:right w:val="none" w:sz="0" w:space="0" w:color="auto"/>
      </w:divBdr>
    </w:div>
    <w:div w:id="1875775838">
      <w:bodyDiv w:val="1"/>
      <w:marLeft w:val="0"/>
      <w:marRight w:val="0"/>
      <w:marTop w:val="0"/>
      <w:marBottom w:val="0"/>
      <w:divBdr>
        <w:top w:val="none" w:sz="0" w:space="0" w:color="auto"/>
        <w:left w:val="none" w:sz="0" w:space="0" w:color="auto"/>
        <w:bottom w:val="none" w:sz="0" w:space="0" w:color="auto"/>
        <w:right w:val="none" w:sz="0" w:space="0" w:color="auto"/>
      </w:divBdr>
    </w:div>
    <w:div w:id="209881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buylocal.advocate@nt.gov.au" TargetMode="External"/><Relationship Id="rId20" Type="http://schemas.openxmlformats.org/officeDocument/2006/relationships/hyperlink" Target="https://nt.gov.au/industry/start-run-and-grow-a-business/workshops-to-grow-your-business/fin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d\Downloads\template-procedur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74854AAABC42549F0A324CAEF2A6DA"/>
        <w:category>
          <w:name w:val="General"/>
          <w:gallery w:val="placeholder"/>
        </w:category>
        <w:types>
          <w:type w:val="bbPlcHdr"/>
        </w:types>
        <w:behaviors>
          <w:behavior w:val="content"/>
        </w:behaviors>
        <w:guid w:val="{45797215-3CC2-461B-8E83-C19DF5CDA194}"/>
      </w:docPartPr>
      <w:docPartBody>
        <w:p w:rsidR="000D48FB" w:rsidRDefault="000D48FB">
          <w:pPr>
            <w:pStyle w:val="5074854AAABC42549F0A324CAEF2A6DA"/>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8FB"/>
    <w:rsid w:val="000D48FB"/>
    <w:rsid w:val="00130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074854AAABC42549F0A324CAEF2A6DA">
    <w:name w:val="5074854AAABC42549F0A324CAEF2A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448F2-1FD2-460E-BF9E-E65F7293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template-procedure.dotm</Template>
  <TotalTime>2</TotalTime>
  <Pages>13</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Buy Local Plan</vt:lpstr>
    </vt:vector>
  </TitlesOfParts>
  <Company>Northern Territory Government</Company>
  <LinksUpToDate>false</LinksUpToDate>
  <CharactersWithSpaces>20846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Buy Local Plan</dc:title>
  <dc:creator>Northern Territory Government</dc:creator>
  <cp:lastModifiedBy>Victoria Edmonds</cp:lastModifiedBy>
  <cp:revision>3</cp:revision>
  <cp:lastPrinted>2016-03-15T05:07:00Z</cp:lastPrinted>
  <dcterms:created xsi:type="dcterms:W3CDTF">2018-05-21T05:02:00Z</dcterms:created>
  <dcterms:modified xsi:type="dcterms:W3CDTF">2018-05-21T05:04:00Z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ate">
    <vt:lpwstr>6 April 2018</vt:lpwstr>
  </property>
  <property fmtid="{D5CDD505-2E9C-101B-9397-08002B2CF9AE}" pid="3" name="VersionNo">
    <vt:lpwstr>&lt;x.x&gt;</vt:lpwstr>
  </property>
  <property fmtid="{D5CDD505-2E9C-101B-9397-08002B2CF9AE}" pid="4" name="DocumentAuthor">
    <vt:lpwstr>Leigh Harris</vt:lpwstr>
  </property>
  <property fmtid="{D5CDD505-2E9C-101B-9397-08002B2CF9AE}" pid="5" name="DepartmentName">
    <vt:lpwstr>Trade, Business and Innovation</vt:lpwstr>
  </property>
  <property fmtid="{D5CDD505-2E9C-101B-9397-08002B2CF9AE}" pid="6" name="DepartmentOf">
    <vt:lpwstr>Department of </vt:lpwstr>
  </property>
</Properties>
</file>