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955A8C" w:rsidP="00293A72">
      <w:pPr>
        <w:pStyle w:val="Heading1"/>
      </w:pPr>
      <w:r>
        <w:t xml:space="preserve">Apply for towage </w:t>
      </w:r>
      <w:r w:rsidR="006F79FC">
        <w:t>Pilot Exemption C</w:t>
      </w:r>
      <w:r>
        <w:t>ertificate</w:t>
      </w:r>
      <w:r w:rsidR="006F79FC">
        <w:t>: Flowchart</w:t>
      </w:r>
    </w:p>
    <w:p w:rsidR="00086A5F" w:rsidRDefault="0038134C" w:rsidP="00370DA1">
      <w:r>
        <w:rPr>
          <w:noProof/>
        </w:rPr>
        <w:drawing>
          <wp:inline distT="0" distB="0" distL="0" distR="0">
            <wp:extent cx="8610600" cy="11475531"/>
            <wp:effectExtent l="0" t="0" r="0" b="0"/>
            <wp:docPr id="1" name="Picture 1" descr="Apply for towage certificate&#10;&#10;How to apply (if you already have a PEC)&#10;&#10;Step 1 – Application&#10;&#10;You need to complete the Pilotage Exemption Certificate Application Form  and submit this with the documents listed above to PEC@nt.gov.au&#10;&#10;The application will not be accepted unless all documentation is submitted with the application and complete.&#10;&#10;Step 2 – Invoice&#10;&#10;The invoice will be forwarded to the address indicated on the application form. Please see the Department of Transport Fees and Charges page for further information.&#10;&#10;Step 3 – Examination&#10;&#10;Once an application has been approved, you will be able to apply for an examination time. The examination will be held at Level 2, Energy House, Cavenagh Street, Darwin.&#10;For towage examination criteria please read Section 14.3 of the Pilotage Technical and Safety Standards.&#10;&#10;Step 4 – Pilot assessment&#10;&#10;On completion of the exam a minimum of 24 hours is required for marking and on forwarding to the Pilotage Service Provider. No Pilot assessments will be accepted until marking of the examination is complete. To book Pilot assessment please email Shipping.DPC@nt.gov.au and Cc PEC@nt.gov.au&#10;&#10;During the Pilot assessments there will be an oral examination covering specific towage requirements. Once two Pilot assessments have been successfully completed a PEC number will be assigned or your existing certificate will be upgraded and an electronic certificate emailed." title="Apply for towage Pilot Exemption Certificate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bmp"/>
                    <pic:cNvPicPr/>
                  </pic:nvPicPr>
                  <pic:blipFill rotWithShape="1">
                    <a:blip r:embed="rId9">
                      <a:extLst>
                        <a:ext uri="{28A0092B-C50C-407E-A947-70E740481C1C}">
                          <a14:useLocalDpi xmlns:a14="http://schemas.microsoft.com/office/drawing/2010/main" val="0"/>
                        </a:ext>
                      </a:extLst>
                    </a:blip>
                    <a:srcRect t="3909"/>
                    <a:stretch/>
                  </pic:blipFill>
                  <pic:spPr bwMode="auto">
                    <a:xfrm>
                      <a:off x="0" y="0"/>
                      <a:ext cx="8617179" cy="11484299"/>
                    </a:xfrm>
                    <a:prstGeom prst="rect">
                      <a:avLst/>
                    </a:prstGeom>
                    <a:ln>
                      <a:noFill/>
                    </a:ln>
                    <a:extLst>
                      <a:ext uri="{53640926-AAD7-44D8-BBD7-CCE9431645EC}">
                        <a14:shadowObscured xmlns:a14="http://schemas.microsoft.com/office/drawing/2010/main"/>
                      </a:ext>
                    </a:extLst>
                  </pic:spPr>
                </pic:pic>
              </a:graphicData>
            </a:graphic>
          </wp:inline>
        </w:drawing>
      </w:r>
    </w:p>
    <w:p w:rsidR="00955A8C" w:rsidRDefault="0038134C" w:rsidP="00370DA1">
      <w:bookmarkStart w:id="0" w:name="_GoBack"/>
      <w:r>
        <w:rPr>
          <w:noProof/>
        </w:rPr>
        <w:lastRenderedPageBreak/>
        <w:drawing>
          <wp:inline distT="0" distB="0" distL="0" distR="0" wp14:anchorId="296A1067" wp14:editId="6504138F">
            <wp:extent cx="9072245" cy="12582525"/>
            <wp:effectExtent l="0" t="0" r="0" b="9525"/>
            <wp:docPr id="3" name="Picture 3" descr="Apply for towage certificate&#10;&#10;How to apply (if you don't already have a PEC)&#10;&#10;Step 1 – Application&#10;&#10;You need to complete the Pilotage Exemption Certificate Application Form and submit this with the documents listed above to PEC@nt.gov.au&#10;&#10;The application will not be accepted unless all documentation is submitted with the application and complete.&#10;&#10;Step 2 – Invoice&#10;&#10;The invoice will be forwarded to the address indicated on the application form. Please see the Department of Transport Fees and Charges page for further information.&#10;&#10;Step 3 – Examination&#10;&#10;Once an application has been approved, you will be able to apply for an examination time. The examination will be held at Level 2, Energy House, Cavenagh Street, Darwin.&#10;&#10;For examination criteria please read Sections12.2, 13.1 and 14.3 of the Pilotage Technical and Safety Standards.&#10;&#10;Step 4 – Pilot assessment&#10;&#10;On completion of the exam a minimum of 24 hours is required for marking and on forwarding to the Pilotage Service Provider. No Pilot assessments will be accepted until marking of the examination is complete. To book Pilot assessment please email Shipping.DPC@nt.gov.au and Cc PEC@nt.gov.au&#10;&#10;During the Pilot assessments there will be an oral examination covering general navigation and specific towage requirements. Once two Pilot assessments have been successfully completed a PEC number will be assigned or your existing certificate will be upgraded and an electronic certificate em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bmp"/>
                    <pic:cNvPicPr/>
                  </pic:nvPicPr>
                  <pic:blipFill>
                    <a:blip r:embed="rId10">
                      <a:extLst>
                        <a:ext uri="{28A0092B-C50C-407E-A947-70E740481C1C}">
                          <a14:useLocalDpi xmlns:a14="http://schemas.microsoft.com/office/drawing/2010/main" val="0"/>
                        </a:ext>
                      </a:extLst>
                    </a:blip>
                    <a:stretch>
                      <a:fillRect/>
                    </a:stretch>
                  </pic:blipFill>
                  <pic:spPr>
                    <a:xfrm>
                      <a:off x="0" y="0"/>
                      <a:ext cx="9072245" cy="12582525"/>
                    </a:xfrm>
                    <a:prstGeom prst="rect">
                      <a:avLst/>
                    </a:prstGeom>
                  </pic:spPr>
                </pic:pic>
              </a:graphicData>
            </a:graphic>
          </wp:inline>
        </w:drawing>
      </w:r>
      <w:bookmarkEnd w:id="0"/>
    </w:p>
    <w:p w:rsidR="00027DB8" w:rsidRDefault="00027DB8" w:rsidP="00247343"/>
    <w:sectPr w:rsidR="00027DB8" w:rsidSect="00370DA1">
      <w:headerReference w:type="default" r:id="rId11"/>
      <w:footerReference w:type="default" r:id="rId12"/>
      <w:headerReference w:type="first" r:id="rId13"/>
      <w:footerReference w:type="first" r:id="rId14"/>
      <w:pgSz w:w="16839" w:h="23814" w:code="8"/>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3B" w:rsidRDefault="00911A3B" w:rsidP="00293A72">
      <w:r>
        <w:separator/>
      </w:r>
    </w:p>
  </w:endnote>
  <w:endnote w:type="continuationSeparator" w:id="0">
    <w:p w:rsidR="00911A3B" w:rsidRDefault="00911A3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370DA1">
    <w:pPr>
      <w:pStyle w:val="Footer"/>
      <w:tabs>
        <w:tab w:val="clear" w:pos="9639"/>
      </w:tabs>
    </w:pPr>
    <w:r>
      <w:tab/>
    </w:r>
  </w:p>
  <w:p w:rsidR="00EB77F9" w:rsidRPr="00FD51B9" w:rsidRDefault="00EB77F9" w:rsidP="00370DA1">
    <w:pPr>
      <w:pStyle w:val="Footer"/>
      <w:tabs>
        <w:tab w:val="clear" w:pos="9639"/>
      </w:tabs>
      <w:rPr>
        <w:rFonts w:cs="Times New Roman"/>
        <w:sz w:val="18"/>
        <w:szCs w:val="18"/>
      </w:rPr>
    </w:pPr>
    <w:r>
      <w:rPr>
        <w:rFonts w:cs="Times New Roman"/>
        <w:szCs w:val="20"/>
      </w:rPr>
      <w:t xml:space="preserve">Department of </w:t>
    </w:r>
    <w:r w:rsidR="00370DA1">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38134C">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38134C">
          <w:rPr>
            <w:bCs/>
            <w:noProof/>
            <w:sz w:val="18"/>
            <w:szCs w:val="18"/>
          </w:rPr>
          <w:t>2</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370DA1">
    <w:pPr>
      <w:pStyle w:val="Footer"/>
      <w:tabs>
        <w:tab w:val="clear" w:pos="9639"/>
      </w:tabs>
    </w:pPr>
    <w:r>
      <w:tab/>
    </w:r>
  </w:p>
  <w:p w:rsidR="005A4AC0" w:rsidRPr="00FD51B9" w:rsidRDefault="00371DC7" w:rsidP="00370DA1">
    <w:pPr>
      <w:pStyle w:val="Footer"/>
      <w:tabs>
        <w:tab w:val="clear" w:pos="9639"/>
      </w:tabs>
      <w:rPr>
        <w:rFonts w:cs="Times New Roman"/>
        <w:sz w:val="18"/>
        <w:szCs w:val="18"/>
      </w:rPr>
    </w:pPr>
    <w:r>
      <w:rPr>
        <w:rFonts w:cs="Times New Roman"/>
        <w:szCs w:val="20"/>
      </w:rPr>
      <w:t>D</w:t>
    </w:r>
    <w:r w:rsidR="005A4AC0">
      <w:rPr>
        <w:rFonts w:cs="Times New Roman"/>
        <w:szCs w:val="20"/>
      </w:rPr>
      <w:t xml:space="preserve">epartment of </w:t>
    </w:r>
    <w:r w:rsidR="00370DA1">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38134C">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38134C">
          <w:rPr>
            <w:bCs/>
            <w:noProof/>
            <w:sz w:val="18"/>
            <w:szCs w:val="18"/>
          </w:rPr>
          <w:t>2</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3B" w:rsidRDefault="00911A3B" w:rsidP="00293A72">
      <w:r>
        <w:separator/>
      </w:r>
    </w:p>
  </w:footnote>
  <w:footnote w:type="continuationSeparator" w:id="0">
    <w:p w:rsidR="00911A3B" w:rsidRDefault="00911A3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FF3217" w:rsidP="00C62099">
    <w:pPr>
      <w:pStyle w:val="Header"/>
      <w:tabs>
        <w:tab w:val="clear" w:pos="4513"/>
        <w:tab w:val="clear" w:pos="9026"/>
      </w:tabs>
      <w:ind w:right="-285"/>
    </w:pPr>
    <w:fldSimple w:instr=" TITLE  &quot;Apply for towage certificate&quot;  \* MERGEFORMAT ">
      <w:r w:rsidR="00955A8C">
        <w:t>Apply for towage certificate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1"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13741"/>
    </w:tblGrid>
    <w:tr w:rsidR="00B614F7" w:rsidTr="00370DA1">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24B291C4" wp14:editId="718EC811">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13741"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2"/>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A1"/>
    <w:rsid w:val="000020B3"/>
    <w:rsid w:val="00027DB8"/>
    <w:rsid w:val="00051F45"/>
    <w:rsid w:val="0007259C"/>
    <w:rsid w:val="00086A5F"/>
    <w:rsid w:val="00117743"/>
    <w:rsid w:val="00117F5B"/>
    <w:rsid w:val="00164A3E"/>
    <w:rsid w:val="001747B5"/>
    <w:rsid w:val="001A2B7F"/>
    <w:rsid w:val="001B2B6C"/>
    <w:rsid w:val="00247343"/>
    <w:rsid w:val="00274D4B"/>
    <w:rsid w:val="00293A72"/>
    <w:rsid w:val="002A30C3"/>
    <w:rsid w:val="002D3A57"/>
    <w:rsid w:val="002F2885"/>
    <w:rsid w:val="00342283"/>
    <w:rsid w:val="003504FD"/>
    <w:rsid w:val="00350881"/>
    <w:rsid w:val="00357D55"/>
    <w:rsid w:val="00370DA1"/>
    <w:rsid w:val="00371DC7"/>
    <w:rsid w:val="0038134C"/>
    <w:rsid w:val="00394AAF"/>
    <w:rsid w:val="003D42C0"/>
    <w:rsid w:val="0040222A"/>
    <w:rsid w:val="004047BC"/>
    <w:rsid w:val="00426E25"/>
    <w:rsid w:val="0045420A"/>
    <w:rsid w:val="004A2538"/>
    <w:rsid w:val="004B0C15"/>
    <w:rsid w:val="004D075F"/>
    <w:rsid w:val="004E019E"/>
    <w:rsid w:val="00502FB3"/>
    <w:rsid w:val="00507782"/>
    <w:rsid w:val="00512A04"/>
    <w:rsid w:val="005654B8"/>
    <w:rsid w:val="005762CC"/>
    <w:rsid w:val="005912D1"/>
    <w:rsid w:val="005A4AC0"/>
    <w:rsid w:val="005B0FB7"/>
    <w:rsid w:val="005B5AC2"/>
    <w:rsid w:val="005E144D"/>
    <w:rsid w:val="00650F5B"/>
    <w:rsid w:val="006719EA"/>
    <w:rsid w:val="006F79FC"/>
    <w:rsid w:val="00722DDB"/>
    <w:rsid w:val="007408F5"/>
    <w:rsid w:val="00783A57"/>
    <w:rsid w:val="0079610F"/>
    <w:rsid w:val="007B03F5"/>
    <w:rsid w:val="00803A70"/>
    <w:rsid w:val="008313C4"/>
    <w:rsid w:val="00861DC3"/>
    <w:rsid w:val="00874DDB"/>
    <w:rsid w:val="00885E9B"/>
    <w:rsid w:val="008E6AD3"/>
    <w:rsid w:val="00911A3B"/>
    <w:rsid w:val="00955A8C"/>
    <w:rsid w:val="009616DF"/>
    <w:rsid w:val="00977919"/>
    <w:rsid w:val="009B1913"/>
    <w:rsid w:val="009B2314"/>
    <w:rsid w:val="009B6657"/>
    <w:rsid w:val="009E175D"/>
    <w:rsid w:val="00A10655"/>
    <w:rsid w:val="00A25193"/>
    <w:rsid w:val="00A3739D"/>
    <w:rsid w:val="00A37DDA"/>
    <w:rsid w:val="00A50325"/>
    <w:rsid w:val="00A925EC"/>
    <w:rsid w:val="00B12A0D"/>
    <w:rsid w:val="00B14CD6"/>
    <w:rsid w:val="00B20E8B"/>
    <w:rsid w:val="00B343CC"/>
    <w:rsid w:val="00B614F7"/>
    <w:rsid w:val="00B61B26"/>
    <w:rsid w:val="00B96513"/>
    <w:rsid w:val="00BB6464"/>
    <w:rsid w:val="00BC1BB8"/>
    <w:rsid w:val="00BD2DD8"/>
    <w:rsid w:val="00BF2ABB"/>
    <w:rsid w:val="00C61AFA"/>
    <w:rsid w:val="00C62099"/>
    <w:rsid w:val="00C75E81"/>
    <w:rsid w:val="00D71D84"/>
    <w:rsid w:val="00D975C0"/>
    <w:rsid w:val="00DC5DD9"/>
    <w:rsid w:val="00DE33B5"/>
    <w:rsid w:val="00DF0487"/>
    <w:rsid w:val="00E02681"/>
    <w:rsid w:val="00E54A88"/>
    <w:rsid w:val="00E861DB"/>
    <w:rsid w:val="00EA3A6B"/>
    <w:rsid w:val="00EB77F9"/>
    <w:rsid w:val="00F25924"/>
    <w:rsid w:val="00FD51B9"/>
    <w:rsid w:val="00FF321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2DF5-7F23-49DD-9385-71746C5D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9</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Apply for towage certificate: Pilotage exemption certificate</vt:lpstr>
    </vt:vector>
  </TitlesOfParts>
  <Company>Northern Territory Government</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towage Pilot Exemption Certificate: Flowchart</dc:title>
  <dc:subject/>
  <dc:creator>Northern Territory Government</dc:creator>
  <cp:keywords/>
  <cp:lastModifiedBy>qan</cp:lastModifiedBy>
  <cp:revision>7</cp:revision>
  <dcterms:created xsi:type="dcterms:W3CDTF">2015-03-13T00:03:00Z</dcterms:created>
  <dcterms:modified xsi:type="dcterms:W3CDTF">2015-04-16T02:08:00Z</dcterms:modified>
</cp:coreProperties>
</file>