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6769EE" w14:paraId="35BA50E5" w14:textId="77777777" w:rsidTr="00F8608C"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870AD70" w14:textId="77777777" w:rsidR="006769EE" w:rsidRPr="002B1CF4" w:rsidRDefault="006769EE" w:rsidP="00F8608C">
            <w:pPr>
              <w:pStyle w:val="Heading4"/>
              <w:rPr>
                <w:rFonts w:ascii="Arial Narrow" w:hAnsi="Arial Narrow"/>
                <w:b/>
                <w:sz w:val="22"/>
              </w:rPr>
            </w:pPr>
            <w:r w:rsidRPr="002B1CF4">
              <w:rPr>
                <w:rFonts w:ascii="Arial Narrow" w:hAnsi="Arial Narrow"/>
                <w:b/>
                <w:sz w:val="16"/>
              </w:rPr>
              <w:t>Mineral Titles Act 2010</w:t>
            </w:r>
          </w:p>
        </w:tc>
      </w:tr>
      <w:tr w:rsidR="006769EE" w14:paraId="62F9D9DC" w14:textId="77777777" w:rsidTr="00F8608C"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BE254D" w14:textId="77777777" w:rsidR="002B1CF4" w:rsidRDefault="006769EE" w:rsidP="002B1CF4">
            <w:pPr>
              <w:ind w:right="-108"/>
              <w:jc w:val="center"/>
              <w:rPr>
                <w:rFonts w:ascii="Arial Narrow" w:hAnsi="Arial Narrow"/>
                <w:b/>
                <w:sz w:val="16"/>
              </w:rPr>
            </w:pPr>
            <w:r w:rsidRPr="002B1CF4"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  <w:p w14:paraId="64A9D915" w14:textId="77777777" w:rsidR="002B1CF4" w:rsidRPr="002B1CF4" w:rsidRDefault="002B1CF4" w:rsidP="002B1CF4">
            <w:pPr>
              <w:ind w:right="-108"/>
              <w:jc w:val="center"/>
              <w:rPr>
                <w:rFonts w:ascii="Arial Narrow" w:hAnsi="Arial Narrow"/>
                <w:b/>
                <w:sz w:val="4"/>
              </w:rPr>
            </w:pPr>
          </w:p>
        </w:tc>
      </w:tr>
      <w:tr w:rsidR="006769EE" w14:paraId="1F6AB08C" w14:textId="77777777" w:rsidTr="00F8608C"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27C7F5" w14:textId="77777777" w:rsidR="006769EE" w:rsidRDefault="006769EE" w:rsidP="00F8608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2EBF38" w14:textId="77777777" w:rsidR="006769EE" w:rsidRDefault="006769EE" w:rsidP="002B1CF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Mineral Lease</w:t>
            </w:r>
            <w:r w:rsidR="002B1CF4">
              <w:rPr>
                <w:rFonts w:ascii="Arial Narrow" w:hAnsi="Arial Narrow"/>
                <w:sz w:val="14"/>
              </w:rPr>
              <w:t>s (Central) 32, 35, 36, 37, 54, 55, 56, 130, 131, 132, 133, 134, 135, 136, 137, 138, 139,140, 141, 142, 143,144, 146, 147, 148, 149, 343, 344, 345, 346, 347, 352, 353, 354, 355, 576, 577, 584, 585, 586 &amp; 598</w:t>
            </w:r>
          </w:p>
        </w:tc>
      </w:tr>
      <w:tr w:rsidR="006769EE" w14:paraId="73085315" w14:textId="77777777" w:rsidTr="00F8608C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039F3C" w14:textId="77777777" w:rsidR="006769EE" w:rsidRDefault="006769EE" w:rsidP="00F8608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00995D" w14:textId="77777777" w:rsidR="006769EE" w:rsidRDefault="006769EE" w:rsidP="00F8608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27 November 2024</w:t>
            </w:r>
          </w:p>
        </w:tc>
      </w:tr>
      <w:tr w:rsidR="006769EE" w14:paraId="213BD580" w14:textId="77777777" w:rsidTr="00F8608C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6845B7" w14:textId="77777777" w:rsidR="006769EE" w:rsidRDefault="006769EE" w:rsidP="00F8608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474556" w14:textId="77777777" w:rsidR="006769EE" w:rsidRDefault="006769EE" w:rsidP="00F8608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22.00 Hectare</w:t>
            </w:r>
          </w:p>
        </w:tc>
      </w:tr>
      <w:tr w:rsidR="006769EE" w14:paraId="532AAE15" w14:textId="77777777" w:rsidTr="00F8608C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7A6080" w14:textId="77777777" w:rsidR="006769EE" w:rsidRDefault="006769EE" w:rsidP="00F8608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D4CF89" w14:textId="77777777" w:rsidR="006769EE" w:rsidRDefault="006769EE" w:rsidP="00F8608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TENNANT CREEK</w:t>
            </w:r>
          </w:p>
        </w:tc>
      </w:tr>
      <w:tr w:rsidR="006769EE" w14:paraId="680A8796" w14:textId="77777777" w:rsidTr="00F8608C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654A60" w14:textId="77777777" w:rsidR="006769EE" w:rsidRDefault="006769EE" w:rsidP="00F8608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E30A2E" w14:textId="77777777" w:rsidR="006769EE" w:rsidRDefault="006769EE" w:rsidP="00F8608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SANTEXCO PTY LTD [ACN. 002 910 296]</w:t>
            </w:r>
          </w:p>
        </w:tc>
      </w:tr>
      <w:tr w:rsidR="006769EE" w14:paraId="60558025" w14:textId="77777777" w:rsidTr="00F8608C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006F83" w14:textId="77777777" w:rsidR="006769EE" w:rsidRDefault="006769EE" w:rsidP="00F8608C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040F012B" wp14:editId="4EAC8372">
                  <wp:extent cx="2286000" cy="2286000"/>
                  <wp:effectExtent l="0" t="0" r="0" b="0"/>
                  <wp:docPr id="1" name="Picture 1" descr="R:\MinesData\titles\mapping\products\diagrams\Tenement Images\MLC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MinesData\titles\mapping\products\diagrams\Tenement Images\MLC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6C2F59D" w14:textId="77777777" w:rsidR="006769EE" w:rsidRDefault="006769EE" w:rsidP="006769EE">
            <w:r w:rsidRPr="000E3FD7">
              <w:rPr>
                <w:rFonts w:asciiTheme="minorHAnsi" w:hAnsiTheme="minorHAnsi" w:cstheme="minorHAnsi"/>
                <w:b/>
                <w:sz w:val="16"/>
              </w:rPr>
              <w:t xml:space="preserve">(Area now </w:t>
            </w:r>
            <w:r>
              <w:rPr>
                <w:rFonts w:asciiTheme="minorHAnsi" w:hAnsiTheme="minorHAnsi" w:cstheme="minorHAnsi"/>
                <w:b/>
                <w:sz w:val="16"/>
              </w:rPr>
              <w:t>amalgamated into Mineral Lease 34014</w:t>
            </w:r>
            <w:r w:rsidRPr="000E3FD7">
              <w:rPr>
                <w:rFonts w:asciiTheme="minorHAnsi" w:hAnsiTheme="minorHAnsi" w:cstheme="minorHAnsi"/>
                <w:b/>
                <w:sz w:val="16"/>
              </w:rPr>
              <w:t xml:space="preserve"> under s102)</w:t>
            </w:r>
          </w:p>
        </w:tc>
      </w:tr>
      <w:tr w:rsidR="006769EE" w14:paraId="6F5FE193" w14:textId="77777777" w:rsidTr="00F8608C"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1EBCD" w14:textId="77777777" w:rsidR="006769EE" w:rsidRDefault="006769EE" w:rsidP="00F8608C"/>
        </w:tc>
      </w:tr>
    </w:tbl>
    <w:p w14:paraId="4C5DB6E4" w14:textId="77777777" w:rsidR="00E27537" w:rsidRPr="006874B1" w:rsidRDefault="00E27537" w:rsidP="009506A3">
      <w:pPr>
        <w:rPr>
          <w:rFonts w:ascii="Lato" w:hAnsi="Lato" w:cs="Calibri"/>
        </w:rPr>
      </w:pPr>
    </w:p>
    <w:p w14:paraId="423E37A6" w14:textId="77777777" w:rsidR="00E27537" w:rsidRPr="006874B1" w:rsidRDefault="009924E6" w:rsidP="009924E6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437/24</w:t>
      </w:r>
    </w:p>
    <w:p w14:paraId="67E9A794" w14:textId="77777777" w:rsidR="00E27537" w:rsidRDefault="00E27537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EA16F6" w14:paraId="27CCF8A0" w14:textId="77777777" w:rsidTr="00F8608C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14:paraId="09CED586" w14:textId="77777777" w:rsidR="00EA16F6" w:rsidRDefault="00EA16F6" w:rsidP="00F8608C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14:paraId="5EE239B7" w14:textId="77777777" w:rsidR="00EA16F6" w:rsidRDefault="00EA16F6" w:rsidP="00F8608C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EA16F6" w14:paraId="4760ECFA" w14:textId="77777777" w:rsidTr="00F8608C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6ACF1D" w14:textId="77777777" w:rsidR="00EA16F6" w:rsidRDefault="00EA16F6" w:rsidP="00F8608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988632" w14:textId="77777777" w:rsidR="00EA16F6" w:rsidRDefault="00EA16F6" w:rsidP="00F8608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Exploration </w:t>
            </w:r>
            <w:proofErr w:type="spellStart"/>
            <w:r>
              <w:rPr>
                <w:rFonts w:ascii="Arial Narrow" w:hAnsi="Arial Narrow"/>
                <w:sz w:val="14"/>
              </w:rPr>
              <w:t>Licence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31869</w:t>
            </w:r>
          </w:p>
        </w:tc>
      </w:tr>
      <w:tr w:rsidR="00EA16F6" w14:paraId="39057DF9" w14:textId="77777777" w:rsidTr="00F8608C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70113A" w14:textId="77777777" w:rsidR="00EA16F6" w:rsidRDefault="00EA16F6" w:rsidP="00F8608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51D92E" w14:textId="77777777" w:rsidR="00EA16F6" w:rsidRDefault="00EA16F6" w:rsidP="00F8608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30 November 2024</w:t>
            </w:r>
          </w:p>
        </w:tc>
      </w:tr>
      <w:tr w:rsidR="00EA16F6" w14:paraId="51EC0AF5" w14:textId="77777777" w:rsidTr="00F8608C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BE7F24" w14:textId="77777777" w:rsidR="00EA16F6" w:rsidRDefault="00EA16F6" w:rsidP="00F8608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205F13" w14:textId="77777777" w:rsidR="00EA16F6" w:rsidRDefault="00EA16F6" w:rsidP="00F8608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26 Blocks, 82.90 km²</w:t>
            </w:r>
          </w:p>
        </w:tc>
      </w:tr>
      <w:tr w:rsidR="00EA16F6" w14:paraId="53E1A0BE" w14:textId="77777777" w:rsidTr="00F8608C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6D358A" w14:textId="77777777" w:rsidR="00EA16F6" w:rsidRDefault="00EA16F6" w:rsidP="00F8608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ABE0F2" w14:textId="77777777" w:rsidR="00EA16F6" w:rsidRDefault="00EA16F6" w:rsidP="00F8608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MOUNT PEAKE</w:t>
            </w:r>
          </w:p>
        </w:tc>
      </w:tr>
      <w:tr w:rsidR="00EA16F6" w14:paraId="5A1CC70F" w14:textId="77777777" w:rsidTr="00F8608C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E08A65" w14:textId="77777777" w:rsidR="00EA16F6" w:rsidRDefault="00EA16F6" w:rsidP="00F8608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29F159" w14:textId="77777777" w:rsidR="00EA16F6" w:rsidRDefault="00EA16F6" w:rsidP="00F8608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IGO LIMITED* [ACN. 092 786 304]</w:t>
            </w:r>
          </w:p>
        </w:tc>
      </w:tr>
      <w:tr w:rsidR="00EA16F6" w14:paraId="2A3409DC" w14:textId="77777777" w:rsidTr="00F8608C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14:paraId="1D0D81AA" w14:textId="77777777" w:rsidR="00EA16F6" w:rsidRDefault="00EA16F6" w:rsidP="00F8608C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4B3B886D" wp14:editId="45ED9989">
                  <wp:extent cx="2280285" cy="2280285"/>
                  <wp:effectExtent l="0" t="0" r="5715" b="5715"/>
                  <wp:docPr id="2" name="Picture 2" descr="1924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924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0285" cy="2280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16F6" w14:paraId="0BA2D089" w14:textId="77777777" w:rsidTr="00F8608C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14:paraId="296B121E" w14:textId="77777777" w:rsidR="00EA16F6" w:rsidRDefault="00EA16F6" w:rsidP="00F8608C"/>
        </w:tc>
      </w:tr>
    </w:tbl>
    <w:p w14:paraId="0026BDC3" w14:textId="77777777" w:rsidR="00EA16F6" w:rsidRDefault="00EA16F6" w:rsidP="00EA16F6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438/24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EA16F6" w14:paraId="4CFD15B8" w14:textId="77777777" w:rsidTr="00F8608C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14:paraId="694A98D6" w14:textId="77777777" w:rsidR="00EA16F6" w:rsidRDefault="00EA16F6" w:rsidP="00F8608C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14:paraId="6DD63005" w14:textId="77777777" w:rsidR="00EA16F6" w:rsidRDefault="00EA16F6" w:rsidP="00F8608C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EA16F6" w14:paraId="6F201C86" w14:textId="77777777" w:rsidTr="00F8608C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370EE2" w14:textId="77777777" w:rsidR="00EA16F6" w:rsidRDefault="00EA16F6" w:rsidP="00F8608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42C22D" w14:textId="77777777" w:rsidR="00EA16F6" w:rsidRDefault="00EA16F6" w:rsidP="00F8608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Exploration </w:t>
            </w:r>
            <w:proofErr w:type="spellStart"/>
            <w:r>
              <w:rPr>
                <w:rFonts w:ascii="Arial Narrow" w:hAnsi="Arial Narrow"/>
                <w:sz w:val="14"/>
              </w:rPr>
              <w:t>Licence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31874</w:t>
            </w:r>
          </w:p>
        </w:tc>
      </w:tr>
      <w:tr w:rsidR="00EA16F6" w14:paraId="02FF9C49" w14:textId="77777777" w:rsidTr="00F8608C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F33B56" w14:textId="77777777" w:rsidR="00EA16F6" w:rsidRDefault="00EA16F6" w:rsidP="00F8608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38396B" w14:textId="77777777" w:rsidR="00EA16F6" w:rsidRDefault="00EA16F6" w:rsidP="00F8608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30 November 2024</w:t>
            </w:r>
          </w:p>
        </w:tc>
      </w:tr>
      <w:tr w:rsidR="00EA16F6" w14:paraId="6FE29586" w14:textId="77777777" w:rsidTr="00F8608C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1B4AE7" w14:textId="77777777" w:rsidR="00EA16F6" w:rsidRDefault="00EA16F6" w:rsidP="00F8608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15441A" w14:textId="77777777" w:rsidR="00EA16F6" w:rsidRDefault="00EA16F6" w:rsidP="00F8608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 Block, 3.20 km²</w:t>
            </w:r>
          </w:p>
        </w:tc>
      </w:tr>
      <w:tr w:rsidR="00EA16F6" w14:paraId="44139090" w14:textId="77777777" w:rsidTr="00F8608C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8F2E16" w14:textId="77777777" w:rsidR="00EA16F6" w:rsidRDefault="00EA16F6" w:rsidP="00F8608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E7FE4D" w14:textId="77777777" w:rsidR="00EA16F6" w:rsidRDefault="00EA16F6" w:rsidP="00F8608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WILLOWRA</w:t>
            </w:r>
          </w:p>
        </w:tc>
      </w:tr>
      <w:tr w:rsidR="00EA16F6" w14:paraId="66347854" w14:textId="77777777" w:rsidTr="00F8608C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9DADD1" w14:textId="77777777" w:rsidR="00EA16F6" w:rsidRDefault="00EA16F6" w:rsidP="00F8608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220C08" w14:textId="77777777" w:rsidR="00EA16F6" w:rsidRDefault="00EA16F6" w:rsidP="00F8608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IGO LIMITED* [ACN. 092 786 304]</w:t>
            </w:r>
          </w:p>
        </w:tc>
      </w:tr>
      <w:tr w:rsidR="00EA16F6" w14:paraId="4106D719" w14:textId="77777777" w:rsidTr="00F8608C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14:paraId="05F91E2A" w14:textId="77777777" w:rsidR="00EA16F6" w:rsidRDefault="00EA16F6" w:rsidP="00F8608C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4727F1BD" wp14:editId="6271B8C0">
                  <wp:extent cx="2286000" cy="2286000"/>
                  <wp:effectExtent l="0" t="0" r="0" b="0"/>
                  <wp:docPr id="3" name="Picture 3" descr="1923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1923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16F6" w14:paraId="6951A861" w14:textId="77777777" w:rsidTr="00F8608C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14:paraId="3E76A982" w14:textId="77777777" w:rsidR="00EA16F6" w:rsidRDefault="00EA16F6" w:rsidP="00F8608C"/>
        </w:tc>
      </w:tr>
    </w:tbl>
    <w:p w14:paraId="7CB58E5D" w14:textId="77777777" w:rsidR="00EA16F6" w:rsidRDefault="00EA16F6" w:rsidP="009506A3">
      <w:pPr>
        <w:rPr>
          <w:rFonts w:ascii="Lato" w:hAnsi="Lato" w:cs="Calibri"/>
        </w:rPr>
      </w:pPr>
    </w:p>
    <w:p w14:paraId="5C239306" w14:textId="77777777" w:rsidR="00EA16F6" w:rsidRDefault="00EA16F6" w:rsidP="00EA16F6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439/24</w:t>
      </w:r>
    </w:p>
    <w:p w14:paraId="5BCC3627" w14:textId="77777777" w:rsidR="00EA16F6" w:rsidRDefault="00EA16F6" w:rsidP="009506A3">
      <w:pPr>
        <w:rPr>
          <w:rFonts w:ascii="Lato" w:hAnsi="Lato" w:cs="Calibri"/>
        </w:rPr>
      </w:pPr>
    </w:p>
    <w:p w14:paraId="4446625D" w14:textId="77777777" w:rsidR="00EA16F6" w:rsidRDefault="00EA16F6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EA16F6" w14:paraId="4BBD1D51" w14:textId="77777777" w:rsidTr="00F8608C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14:paraId="5B386EB6" w14:textId="77777777" w:rsidR="00EA16F6" w:rsidRDefault="00EA16F6" w:rsidP="00F8608C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14:paraId="1EFC2FA9" w14:textId="77777777" w:rsidR="00EA16F6" w:rsidRDefault="00EA16F6" w:rsidP="00F8608C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EA16F6" w14:paraId="6B985E48" w14:textId="77777777" w:rsidTr="00F8608C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1A8BBC" w14:textId="77777777" w:rsidR="00EA16F6" w:rsidRDefault="00EA16F6" w:rsidP="00F8608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6F86EF" w14:textId="77777777" w:rsidR="00EA16F6" w:rsidRDefault="00EA16F6" w:rsidP="00F8608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Exploration </w:t>
            </w:r>
            <w:proofErr w:type="spellStart"/>
            <w:r>
              <w:rPr>
                <w:rFonts w:ascii="Arial Narrow" w:hAnsi="Arial Narrow"/>
                <w:sz w:val="14"/>
              </w:rPr>
              <w:t>Licence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31889</w:t>
            </w:r>
          </w:p>
        </w:tc>
      </w:tr>
      <w:tr w:rsidR="00EA16F6" w14:paraId="78E825FF" w14:textId="77777777" w:rsidTr="00F8608C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65D9BB" w14:textId="77777777" w:rsidR="00EA16F6" w:rsidRDefault="00EA16F6" w:rsidP="00F8608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5EB23A" w14:textId="77777777" w:rsidR="00EA16F6" w:rsidRDefault="00EA16F6" w:rsidP="00F8608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30 November 2024</w:t>
            </w:r>
          </w:p>
        </w:tc>
      </w:tr>
      <w:tr w:rsidR="00EA16F6" w14:paraId="13C7D3C0" w14:textId="77777777" w:rsidTr="00F8608C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069A0C" w14:textId="77777777" w:rsidR="00EA16F6" w:rsidRDefault="00EA16F6" w:rsidP="00F8608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50CCA7" w14:textId="77777777" w:rsidR="00EA16F6" w:rsidRDefault="00EA16F6" w:rsidP="00F8608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 Block, 1.99 km²</w:t>
            </w:r>
          </w:p>
        </w:tc>
      </w:tr>
      <w:tr w:rsidR="00EA16F6" w14:paraId="2D0F8819" w14:textId="77777777" w:rsidTr="00F8608C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131F40" w14:textId="77777777" w:rsidR="00EA16F6" w:rsidRDefault="00EA16F6" w:rsidP="00F8608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A2CFED" w14:textId="77777777" w:rsidR="00EA16F6" w:rsidRDefault="00EA16F6" w:rsidP="00F8608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WILLOWRA</w:t>
            </w:r>
          </w:p>
        </w:tc>
      </w:tr>
      <w:tr w:rsidR="00EA16F6" w14:paraId="1159985D" w14:textId="77777777" w:rsidTr="00F8608C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E4E81F" w14:textId="77777777" w:rsidR="00EA16F6" w:rsidRDefault="00EA16F6" w:rsidP="00F8608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A9BA37" w14:textId="77777777" w:rsidR="00EA16F6" w:rsidRDefault="00EA16F6" w:rsidP="00F8608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IGO LIMITED* [ACN. 092 786 304]</w:t>
            </w:r>
          </w:p>
        </w:tc>
      </w:tr>
      <w:tr w:rsidR="00EA16F6" w14:paraId="17328C3C" w14:textId="77777777" w:rsidTr="00F8608C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14:paraId="3536ED18" w14:textId="77777777" w:rsidR="00EA16F6" w:rsidRDefault="00EA16F6" w:rsidP="00F8608C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3FC97677" wp14:editId="2ED28F78">
                  <wp:extent cx="2286000" cy="2286000"/>
                  <wp:effectExtent l="0" t="0" r="0" b="0"/>
                  <wp:docPr id="4" name="Picture 4" descr="1923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1923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16F6" w14:paraId="28B76C2B" w14:textId="77777777" w:rsidTr="00F8608C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14:paraId="093A9D76" w14:textId="77777777" w:rsidR="00EA16F6" w:rsidRDefault="00EA16F6" w:rsidP="00F8608C"/>
        </w:tc>
      </w:tr>
    </w:tbl>
    <w:p w14:paraId="1FBD7F38" w14:textId="77777777" w:rsidR="00EA16F6" w:rsidRDefault="00EA16F6" w:rsidP="009506A3">
      <w:pPr>
        <w:rPr>
          <w:rFonts w:ascii="Lato" w:hAnsi="Lato" w:cs="Calibri"/>
        </w:rPr>
      </w:pPr>
    </w:p>
    <w:p w14:paraId="43C659C4" w14:textId="77777777" w:rsidR="00EA16F6" w:rsidRDefault="00EA16F6" w:rsidP="00EA16F6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440/24</w:t>
      </w:r>
    </w:p>
    <w:p w14:paraId="2B6E868D" w14:textId="77777777" w:rsidR="00EA16F6" w:rsidRDefault="00EA16F6" w:rsidP="009506A3">
      <w:pPr>
        <w:rPr>
          <w:rFonts w:ascii="Lato" w:hAnsi="Lato" w:cs="Calibri"/>
        </w:rPr>
      </w:pPr>
    </w:p>
    <w:p w14:paraId="4A2C9A9A" w14:textId="77777777" w:rsidR="002B1CF4" w:rsidRDefault="002B1CF4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EA16F6" w14:paraId="5B904589" w14:textId="77777777" w:rsidTr="00F8608C">
        <w:trPr>
          <w:trHeight w:val="132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33D572" w14:textId="77777777" w:rsidR="00EA16F6" w:rsidRDefault="00EA16F6" w:rsidP="00F8608C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Mineral Titles Act</w:t>
            </w:r>
          </w:p>
        </w:tc>
      </w:tr>
      <w:tr w:rsidR="00EA16F6" w14:paraId="518D668B" w14:textId="77777777" w:rsidTr="00F8608C">
        <w:trPr>
          <w:trHeight w:val="78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14:paraId="48C891C7" w14:textId="77777777" w:rsidR="00EA16F6" w:rsidRDefault="00EA16F6" w:rsidP="00F8608C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MINERAL TITLE</w:t>
            </w:r>
          </w:p>
        </w:tc>
      </w:tr>
      <w:tr w:rsidR="00EA16F6" w14:paraId="38F49D8F" w14:textId="77777777" w:rsidTr="00F8608C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A3C7E0" w14:textId="77777777" w:rsidR="00EA16F6" w:rsidRDefault="00EA16F6" w:rsidP="00F8608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37ACFF" w14:textId="77777777" w:rsidR="00EA16F6" w:rsidRDefault="00EA16F6" w:rsidP="00F8608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Lease 33117</w:t>
            </w:r>
          </w:p>
        </w:tc>
      </w:tr>
      <w:tr w:rsidR="00EA16F6" w14:paraId="5F7F221A" w14:textId="77777777" w:rsidTr="00F8608C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4D5895" w14:textId="77777777" w:rsidR="00EA16F6" w:rsidRDefault="00EA16F6" w:rsidP="00F8608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4C199C" w14:textId="77777777" w:rsidR="00EA16F6" w:rsidRDefault="00EA16F6" w:rsidP="00F8608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29 November 2024, for a period of 10 Years</w:t>
            </w:r>
          </w:p>
        </w:tc>
      </w:tr>
      <w:tr w:rsidR="00EA16F6" w14:paraId="09D31280" w14:textId="77777777" w:rsidTr="00F8608C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4C34A3" w14:textId="77777777" w:rsidR="00EA16F6" w:rsidRDefault="00EA16F6" w:rsidP="00F8608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8C1374" w14:textId="77777777" w:rsidR="00EA16F6" w:rsidRDefault="00EA16F6" w:rsidP="00F8608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28.64 Hectares</w:t>
            </w:r>
          </w:p>
        </w:tc>
      </w:tr>
      <w:tr w:rsidR="00EA16F6" w14:paraId="3DED15E5" w14:textId="77777777" w:rsidTr="00F8608C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796550" w14:textId="77777777" w:rsidR="00EA16F6" w:rsidRDefault="00EA16F6" w:rsidP="00F8608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305301" w14:textId="77777777" w:rsidR="00EA16F6" w:rsidRDefault="00EA16F6" w:rsidP="00F8608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MARY RIVER</w:t>
            </w:r>
          </w:p>
        </w:tc>
      </w:tr>
      <w:tr w:rsidR="00EA16F6" w14:paraId="37A92EEE" w14:textId="77777777" w:rsidTr="00F8608C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6DD0F0" w14:textId="77777777" w:rsidR="00EA16F6" w:rsidRDefault="00EA16F6" w:rsidP="00F8608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F56825" w14:textId="77777777" w:rsidR="00EA16F6" w:rsidRDefault="00EA16F6" w:rsidP="00F8608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MOUSELLIS &amp; SONS PTY. LTD. [ACN. 009 654 791]</w:t>
            </w:r>
          </w:p>
        </w:tc>
      </w:tr>
      <w:tr w:rsidR="00EA16F6" w14:paraId="1ADC5C01" w14:textId="77777777" w:rsidTr="00F8608C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7A31FB" w14:textId="77777777" w:rsidR="00EA16F6" w:rsidRDefault="00EA16F6" w:rsidP="00F8608C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5ED6B912" wp14:editId="6E86D681">
                  <wp:extent cx="2286000" cy="2286000"/>
                  <wp:effectExtent l="0" t="0" r="0" b="0"/>
                  <wp:docPr id="5" name="Picture 5" descr="R:\MinesData\titles\mapping\products\diagrams\Tenement Images\EML331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MinesData\titles\mapping\products\diagrams\Tenement Images\EML331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16F6" w14:paraId="417FA078" w14:textId="77777777" w:rsidTr="00F860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2428C" w14:textId="77777777" w:rsidR="00EA16F6" w:rsidRDefault="00EA16F6" w:rsidP="00F8608C"/>
        </w:tc>
      </w:tr>
    </w:tbl>
    <w:p w14:paraId="583BEA7E" w14:textId="77777777" w:rsidR="00EA16F6" w:rsidRDefault="00EA16F6" w:rsidP="009506A3">
      <w:pPr>
        <w:rPr>
          <w:rFonts w:ascii="Lato" w:hAnsi="Lato" w:cs="Calibri"/>
        </w:rPr>
      </w:pPr>
    </w:p>
    <w:p w14:paraId="0D9FC7E2" w14:textId="77777777" w:rsidR="00EA16F6" w:rsidRDefault="00EA16F6" w:rsidP="00EA16F6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441/24</w:t>
      </w:r>
    </w:p>
    <w:p w14:paraId="45C3CFFD" w14:textId="77777777" w:rsidR="00EA16F6" w:rsidRPr="006874B1" w:rsidRDefault="00EA16F6" w:rsidP="009506A3">
      <w:pPr>
        <w:rPr>
          <w:rFonts w:ascii="Lato" w:hAnsi="Lato" w:cs="Calibri"/>
        </w:rPr>
      </w:pPr>
    </w:p>
    <w:sectPr w:rsidR="00EA16F6" w:rsidRPr="006874B1" w:rsidSect="002B1CF4">
      <w:headerReference w:type="default" r:id="rId12"/>
      <w:footerReference w:type="default" r:id="rId13"/>
      <w:type w:val="continuous"/>
      <w:pgSz w:w="11906" w:h="16838"/>
      <w:pgMar w:top="1440" w:right="991" w:bottom="851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48399" w14:textId="77777777" w:rsidR="002E74B6" w:rsidRDefault="002E74B6">
      <w:r>
        <w:separator/>
      </w:r>
    </w:p>
  </w:endnote>
  <w:endnote w:type="continuationSeparator" w:id="0">
    <w:p w14:paraId="142B9E1D" w14:textId="77777777" w:rsidR="002E74B6" w:rsidRDefault="002E7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altName w:val="Lato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0DCE7" w14:textId="77777777"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2B1CF4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14:paraId="70E758AA" w14:textId="77777777"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909A5" w14:textId="77777777" w:rsidR="002E74B6" w:rsidRDefault="002E74B6">
      <w:r>
        <w:separator/>
      </w:r>
    </w:p>
  </w:footnote>
  <w:footnote w:type="continuationSeparator" w:id="0">
    <w:p w14:paraId="6420636F" w14:textId="77777777" w:rsidR="002E74B6" w:rsidRDefault="002E74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14:paraId="4E3D54C8" w14:textId="77777777" w:rsidTr="00D75929">
      <w:trPr>
        <w:trHeight w:val="993"/>
      </w:trPr>
      <w:tc>
        <w:tcPr>
          <w:tcW w:w="3426" w:type="dxa"/>
          <w:vAlign w:val="center"/>
        </w:tcPr>
        <w:p w14:paraId="080D0100" w14:textId="77777777"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396F2032" wp14:editId="7732FF1E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5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14:paraId="75EC0AA1" w14:textId="77777777"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14:paraId="7B60B414" w14:textId="77777777"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14:paraId="47E94B31" w14:textId="77777777"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7A7223BF" wp14:editId="07D24E5A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6DFD823" w14:textId="77777777" w:rsidR="00D75929" w:rsidRDefault="00D75929" w:rsidP="0096574E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 w:rsidR="0096574E">
                                  <w:rPr>
                                    <w:b/>
                                  </w:rPr>
                                  <w:t>Mining and energy</w:t>
                                </w:r>
                              </w:p>
                              <w:p w14:paraId="147386AB" w14:textId="77777777"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96574E">
                          <w:pPr>
                            <w:pStyle w:val="Departmentof"/>
                            <w:spacing w:before="0" w:after="0"/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 w:rsidR="0096574E">
                            <w:rPr>
                              <w:b/>
                            </w:rPr>
                            <w:t>Mining and energy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14:paraId="5BF66E3E" w14:textId="77777777"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14:paraId="17F01964" w14:textId="77777777"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14:paraId="710AD523" w14:textId="77777777"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14:paraId="479F8851" w14:textId="77777777"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2A147ED4" wp14:editId="6F526454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6" name="Pictur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 w14:paraId="2C794209" w14:textId="77777777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14:paraId="21EA4FD4" w14:textId="77777777" w:rsidR="0031671D" w:rsidRPr="003D08EC" w:rsidRDefault="0062178F" w:rsidP="00224E64">
          <w:pPr>
            <w:pStyle w:val="Heading3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  <w:noProof/>
            </w:rPr>
            <w:t>MN144/24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14:paraId="35054352" w14:textId="77777777"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City">
            <w:smartTag w:uri="urn:schemas-microsoft-com:office:smarttags" w:element="place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14:paraId="25F46952" w14:textId="77777777" w:rsidR="0031671D" w:rsidRPr="003D08EC" w:rsidRDefault="0062178F" w:rsidP="006D5019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2 December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</w:t>
          </w:r>
          <w:r w:rsidR="006D5019">
            <w:rPr>
              <w:rFonts w:ascii="Lato" w:hAnsi="Lato"/>
              <w:b/>
            </w:rPr>
            <w:t>4</w:t>
          </w:r>
        </w:p>
      </w:tc>
    </w:tr>
  </w:tbl>
  <w:p w14:paraId="42E7258A" w14:textId="77777777"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71038041">
    <w:abstractNumId w:val="1"/>
  </w:num>
  <w:num w:numId="2" w16cid:durableId="1153374134">
    <w:abstractNumId w:val="1"/>
  </w:num>
  <w:num w:numId="3" w16cid:durableId="1871454968">
    <w:abstractNumId w:val="1"/>
  </w:num>
  <w:num w:numId="4" w16cid:durableId="1692338729">
    <w:abstractNumId w:val="0"/>
  </w:num>
  <w:num w:numId="5" w16cid:durableId="515121787">
    <w:abstractNumId w:val="1"/>
  </w:num>
  <w:num w:numId="6" w16cid:durableId="201096614">
    <w:abstractNumId w:val="1"/>
  </w:num>
  <w:num w:numId="7" w16cid:durableId="947617249">
    <w:abstractNumId w:val="1"/>
  </w:num>
  <w:num w:numId="8" w16cid:durableId="256867645">
    <w:abstractNumId w:val="2"/>
  </w:num>
  <w:num w:numId="9" w16cid:durableId="1064717021">
    <w:abstractNumId w:val="12"/>
  </w:num>
  <w:num w:numId="10" w16cid:durableId="715930153">
    <w:abstractNumId w:val="7"/>
  </w:num>
  <w:num w:numId="11" w16cid:durableId="1844975196">
    <w:abstractNumId w:val="13"/>
  </w:num>
  <w:num w:numId="12" w16cid:durableId="914585423">
    <w:abstractNumId w:val="9"/>
  </w:num>
  <w:num w:numId="13" w16cid:durableId="1206798193">
    <w:abstractNumId w:val="6"/>
  </w:num>
  <w:num w:numId="14" w16cid:durableId="805126797">
    <w:abstractNumId w:val="14"/>
  </w:num>
  <w:num w:numId="15" w16cid:durableId="1305894952">
    <w:abstractNumId w:val="4"/>
  </w:num>
  <w:num w:numId="16" w16cid:durableId="1947928671">
    <w:abstractNumId w:val="15"/>
  </w:num>
  <w:num w:numId="17" w16cid:durableId="1747653169">
    <w:abstractNumId w:val="3"/>
  </w:num>
  <w:num w:numId="18" w16cid:durableId="234629541">
    <w:abstractNumId w:val="11"/>
  </w:num>
  <w:num w:numId="19" w16cid:durableId="1691763210">
    <w:abstractNumId w:val="8"/>
  </w:num>
  <w:num w:numId="20" w16cid:durableId="1888301275">
    <w:abstractNumId w:val="10"/>
  </w:num>
  <w:num w:numId="21" w16cid:durableId="9507432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AU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78F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CF4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E74B6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55D"/>
    <w:rsid w:val="00433823"/>
    <w:rsid w:val="0044117E"/>
    <w:rsid w:val="0044382A"/>
    <w:rsid w:val="0045027A"/>
    <w:rsid w:val="00453A08"/>
    <w:rsid w:val="00457169"/>
    <w:rsid w:val="004635AA"/>
    <w:rsid w:val="004641DE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178F"/>
    <w:rsid w:val="00626AC0"/>
    <w:rsid w:val="0062789C"/>
    <w:rsid w:val="006311E0"/>
    <w:rsid w:val="006312F9"/>
    <w:rsid w:val="00634AF4"/>
    <w:rsid w:val="00636059"/>
    <w:rsid w:val="006400E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769EE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D5019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47BB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574E"/>
    <w:rsid w:val="00967B3B"/>
    <w:rsid w:val="009752B9"/>
    <w:rsid w:val="00980583"/>
    <w:rsid w:val="009866AC"/>
    <w:rsid w:val="009924E6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22B04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E59D8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47991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6F6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931B4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2"/>
    </o:shapelayout>
  </w:shapeDefaults>
  <w:decimalSymbol w:val="."/>
  <w:listSeparator w:val=","/>
  <w14:docId w14:val="0FA767EC"/>
  <w15:docId w15:val="{C738D088-0649-4CF5-A7BC-0CE3D568A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2178F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g"/><Relationship Id="rId1" Type="http://schemas.openxmlformats.org/officeDocument/2006/relationships/image" Target="media/image6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4\TEMPLATE%20DME%20202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DME 2024.dotx</Template>
  <TotalTime>42</TotalTime>
  <Pages>2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Notice 144/24</vt:lpstr>
    </vt:vector>
  </TitlesOfParts>
  <Company>Department of Mining and Energy</Company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Notice 144/24</dc:title>
  <dc:creator>Northern Territory Government</dc:creator>
  <cp:revision>5</cp:revision>
  <cp:lastPrinted>2017-01-25T02:36:00Z</cp:lastPrinted>
  <dcterms:created xsi:type="dcterms:W3CDTF">2024-12-02T03:42:00Z</dcterms:created>
  <dcterms:modified xsi:type="dcterms:W3CDTF">2024-12-02T06:24:00Z</dcterms:modified>
</cp:coreProperties>
</file>