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8575F" w14:textId="77777777" w:rsidR="002B70E7" w:rsidRDefault="002B70E7" w:rsidP="002B70E7">
      <w:pPr>
        <w:pStyle w:val="Heading3"/>
        <w:rPr>
          <w:rStyle w:val="TitleChar"/>
          <w:rFonts w:eastAsia="Calibri"/>
        </w:rPr>
      </w:pPr>
      <w:bookmarkStart w:id="0" w:name="_GoBack"/>
      <w:bookmarkEnd w:id="0"/>
    </w:p>
    <w:sdt>
      <w:sdtPr>
        <w:rPr>
          <w:rStyle w:val="TitleChar"/>
          <w:rFonts w:eastAsia="Calibri"/>
        </w:rPr>
        <w:alias w:val="Title"/>
        <w:tag w:val="Title"/>
        <w:id w:val="-509755993"/>
        <w:placeholder>
          <w:docPart w:val="32E5E2965F1E4BFCBD0167C153D16F10"/>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14:paraId="2F486510" w14:textId="0BAE31BB" w:rsidR="00D61FD1" w:rsidRDefault="009177B7" w:rsidP="002B70E7">
          <w:pPr>
            <w:pStyle w:val="Heading3"/>
          </w:pPr>
          <w:r>
            <w:rPr>
              <w:rStyle w:val="TitleChar"/>
              <w:rFonts w:eastAsia="Calibri"/>
            </w:rPr>
            <w:t>Common words</w:t>
          </w:r>
        </w:p>
      </w:sdtContent>
    </w:sdt>
    <w:bookmarkStart w:id="1" w:name="_Toc15286861" w:displacedByCustomXml="prev"/>
    <w:bookmarkStart w:id="2" w:name="_Toc15286907" w:displacedByCustomXml="prev"/>
    <w:bookmarkEnd w:id="2"/>
    <w:bookmarkEnd w:id="1"/>
    <w:p w14:paraId="3D788901" w14:textId="77777777" w:rsidR="009177B7" w:rsidRPr="009177B7" w:rsidRDefault="009177B7" w:rsidP="009177B7">
      <w:pPr>
        <w:widowControl w:val="0"/>
        <w:spacing w:before="240"/>
        <w:ind w:right="-23"/>
        <w:outlineLvl w:val="0"/>
        <w:rPr>
          <w:szCs w:val="20"/>
        </w:rPr>
      </w:pPr>
      <w:r w:rsidRPr="009177B7">
        <w:rPr>
          <w:szCs w:val="20"/>
        </w:rPr>
        <w:t>When you are buying a home you may come across some unfamiliar words. Here are definitions of some words and phrases you need to be familiar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9177B7" w14:paraId="6C386DD9" w14:textId="77777777" w:rsidTr="004B70AA">
        <w:tc>
          <w:tcPr>
            <w:tcW w:w="5154" w:type="dxa"/>
          </w:tcPr>
          <w:p w14:paraId="21AA46A6" w14:textId="14AD98E9"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rPr>
                <w:rFonts w:ascii="Lato SemiBold" w:eastAsia="Times New Roman" w:hAnsi="Lato SemiBold"/>
                <w:bCs/>
                <w:color w:val="1F1F5F"/>
                <w:kern w:val="32"/>
                <w:sz w:val="36"/>
                <w:szCs w:val="32"/>
                <w:lang w:eastAsia="en-AU"/>
              </w:rPr>
              <w:t>Body Corporate</w:t>
            </w:r>
          </w:p>
        </w:tc>
        <w:tc>
          <w:tcPr>
            <w:tcW w:w="5154" w:type="dxa"/>
          </w:tcPr>
          <w:p w14:paraId="1C65108B" w14:textId="2989D880" w:rsidR="009177B7" w:rsidRDefault="009177B7" w:rsidP="009177B7">
            <w:pPr>
              <w:widowControl w:val="0"/>
              <w:spacing w:before="120" w:after="120"/>
              <w:ind w:right="-23"/>
              <w:outlineLvl w:val="0"/>
              <w:rPr>
                <w:szCs w:val="20"/>
              </w:rPr>
            </w:pPr>
            <w:r w:rsidRPr="00BD29EF">
              <w:rPr>
                <w:rFonts w:ascii="Lato SemiBold" w:eastAsia="Times New Roman" w:hAnsi="Lato SemiBold"/>
                <w:bCs/>
                <w:color w:val="1F1F5F"/>
                <w:kern w:val="32"/>
                <w:sz w:val="36"/>
                <w:szCs w:val="32"/>
                <w:lang w:eastAsia="en-AU"/>
              </w:rPr>
              <w:t>Chattel</w:t>
            </w:r>
          </w:p>
        </w:tc>
      </w:tr>
      <w:tr w:rsidR="009177B7" w14:paraId="694DB669" w14:textId="77777777" w:rsidTr="004B70AA">
        <w:tc>
          <w:tcPr>
            <w:tcW w:w="5154" w:type="dxa"/>
          </w:tcPr>
          <w:p w14:paraId="4BDB175E" w14:textId="3DF89A01"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t>You will come across this if you are buying a town house or unit that has been ‘strata titled’. The Body Corporate arranges maintenance of common areas, such as roof repairs, and helps resolve disputes. The Body Corporate will normally charge a levy to cover costs associated with maintenance and building insurance.</w:t>
            </w:r>
          </w:p>
        </w:tc>
        <w:tc>
          <w:tcPr>
            <w:tcW w:w="5154" w:type="dxa"/>
          </w:tcPr>
          <w:p w14:paraId="11841E0A" w14:textId="77777777" w:rsidR="009177B7" w:rsidRPr="00D7044A" w:rsidRDefault="009177B7" w:rsidP="009177B7">
            <w:pPr>
              <w:spacing w:before="120" w:after="120"/>
            </w:pPr>
            <w:r w:rsidRPr="00D7044A">
              <w:t>This is an item in a house that may be included in the sale. This could be items such as furniture or pot plants. These are usually not included in the mortgage as they are not fixtures.</w:t>
            </w:r>
          </w:p>
          <w:p w14:paraId="2F1C3C9A" w14:textId="77777777" w:rsidR="009177B7" w:rsidRDefault="009177B7" w:rsidP="009177B7">
            <w:pPr>
              <w:widowControl w:val="0"/>
              <w:spacing w:before="120" w:after="120"/>
              <w:ind w:right="-23"/>
              <w:outlineLvl w:val="0"/>
              <w:rPr>
                <w:szCs w:val="20"/>
              </w:rPr>
            </w:pPr>
          </w:p>
        </w:tc>
      </w:tr>
      <w:tr w:rsidR="009177B7" w14:paraId="1617CB68" w14:textId="77777777" w:rsidTr="004B70AA">
        <w:tc>
          <w:tcPr>
            <w:tcW w:w="5154" w:type="dxa"/>
          </w:tcPr>
          <w:p w14:paraId="655BCB82" w14:textId="5F0F18BF"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rPr>
                <w:rFonts w:ascii="Lato SemiBold" w:eastAsia="Times New Roman" w:hAnsi="Lato SemiBold"/>
                <w:bCs/>
                <w:color w:val="1F1F5F"/>
                <w:kern w:val="32"/>
                <w:sz w:val="36"/>
                <w:szCs w:val="32"/>
                <w:lang w:eastAsia="en-AU"/>
              </w:rPr>
              <w:t>Certificate of Currency</w:t>
            </w:r>
          </w:p>
        </w:tc>
        <w:tc>
          <w:tcPr>
            <w:tcW w:w="5154" w:type="dxa"/>
          </w:tcPr>
          <w:p w14:paraId="0D9B339D" w14:textId="7EB91646"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rPr>
                <w:rFonts w:ascii="Lato SemiBold" w:eastAsia="Times New Roman" w:hAnsi="Lato SemiBold"/>
                <w:bCs/>
                <w:color w:val="1F1F5F"/>
                <w:kern w:val="32"/>
                <w:sz w:val="36"/>
                <w:szCs w:val="32"/>
                <w:lang w:eastAsia="en-AU"/>
              </w:rPr>
              <w:t>Commission</w:t>
            </w:r>
          </w:p>
        </w:tc>
      </w:tr>
      <w:tr w:rsidR="009177B7" w14:paraId="2A24B5ED" w14:textId="77777777" w:rsidTr="004B70AA">
        <w:tc>
          <w:tcPr>
            <w:tcW w:w="5154" w:type="dxa"/>
          </w:tcPr>
          <w:p w14:paraId="29E2FF31" w14:textId="2AA402F0" w:rsidR="009177B7" w:rsidRPr="009177B7" w:rsidRDefault="009177B7" w:rsidP="009177B7">
            <w:pPr>
              <w:widowControl w:val="0"/>
              <w:spacing w:before="120" w:after="120"/>
              <w:ind w:right="-23"/>
              <w:outlineLvl w:val="0"/>
            </w:pPr>
            <w:r w:rsidRPr="009177B7">
              <w:t>This is a certificate issued by an insurer that confirms the assets you have insured and the amount the assets are insured for. You should insure the property once the contract of sale has been exchanged and is unconditional, because at this point you must go ahead with the purchase no matter what happens to the property.</w:t>
            </w:r>
          </w:p>
        </w:tc>
        <w:tc>
          <w:tcPr>
            <w:tcW w:w="5154" w:type="dxa"/>
          </w:tcPr>
          <w:p w14:paraId="02471C40" w14:textId="77777777" w:rsidR="009177B7" w:rsidRPr="009177B7" w:rsidRDefault="009177B7" w:rsidP="009177B7">
            <w:pPr>
              <w:widowControl w:val="0"/>
              <w:spacing w:before="120" w:after="120"/>
              <w:ind w:right="-23"/>
              <w:outlineLvl w:val="0"/>
            </w:pPr>
            <w:r w:rsidRPr="009177B7">
              <w:t>The fee the seller pays the real estate agent when the house sale is completed.</w:t>
            </w:r>
          </w:p>
          <w:p w14:paraId="0464CD4D" w14:textId="77777777" w:rsidR="009177B7" w:rsidRPr="009177B7" w:rsidRDefault="009177B7" w:rsidP="009177B7">
            <w:pPr>
              <w:widowControl w:val="0"/>
              <w:spacing w:before="120" w:after="120"/>
              <w:ind w:right="-23"/>
              <w:outlineLvl w:val="0"/>
            </w:pPr>
          </w:p>
        </w:tc>
      </w:tr>
      <w:tr w:rsidR="009177B7" w14:paraId="0521726E" w14:textId="77777777" w:rsidTr="004B70AA">
        <w:tc>
          <w:tcPr>
            <w:tcW w:w="5154" w:type="dxa"/>
          </w:tcPr>
          <w:p w14:paraId="5D640C5A" w14:textId="5C83DF75"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rPr>
                <w:rFonts w:ascii="Lato SemiBold" w:eastAsia="Times New Roman" w:hAnsi="Lato SemiBold"/>
                <w:bCs/>
                <w:color w:val="1F1F5F"/>
                <w:kern w:val="32"/>
                <w:sz w:val="36"/>
                <w:szCs w:val="32"/>
                <w:lang w:eastAsia="en-AU"/>
              </w:rPr>
              <w:t xml:space="preserve">Certificate of </w:t>
            </w:r>
            <w:r>
              <w:rPr>
                <w:rFonts w:ascii="Lato SemiBold" w:eastAsia="Times New Roman" w:hAnsi="Lato SemiBold"/>
                <w:bCs/>
                <w:color w:val="1F1F5F"/>
                <w:kern w:val="32"/>
                <w:sz w:val="36"/>
                <w:szCs w:val="32"/>
                <w:lang w:eastAsia="en-AU"/>
              </w:rPr>
              <w:t>Title</w:t>
            </w:r>
          </w:p>
        </w:tc>
        <w:tc>
          <w:tcPr>
            <w:tcW w:w="5154" w:type="dxa"/>
          </w:tcPr>
          <w:p w14:paraId="623ACEEE" w14:textId="58C751D6"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rPr>
                <w:rFonts w:ascii="Lato SemiBold" w:eastAsia="Times New Roman" w:hAnsi="Lato SemiBold"/>
                <w:bCs/>
                <w:color w:val="1F1F5F"/>
                <w:kern w:val="32"/>
                <w:sz w:val="36"/>
                <w:szCs w:val="32"/>
                <w:lang w:eastAsia="en-AU"/>
              </w:rPr>
              <w:t>Comparison rate</w:t>
            </w:r>
          </w:p>
        </w:tc>
      </w:tr>
      <w:tr w:rsidR="009177B7" w14:paraId="2DD40879" w14:textId="77777777" w:rsidTr="004B70AA">
        <w:tc>
          <w:tcPr>
            <w:tcW w:w="5154" w:type="dxa"/>
          </w:tcPr>
          <w:p w14:paraId="6F2FA400" w14:textId="128EC380" w:rsidR="009177B7" w:rsidRPr="009177B7" w:rsidRDefault="009177B7" w:rsidP="009177B7">
            <w:pPr>
              <w:widowControl w:val="0"/>
              <w:spacing w:before="120" w:after="120"/>
              <w:ind w:right="-23"/>
              <w:outlineLvl w:val="0"/>
            </w:pPr>
            <w:r w:rsidRPr="009177B7">
              <w:t>Every property has an original Certificate of Title held by the Land Titles Office that notes all legal interests in the land. When you buy a property, a transfer to you will be registered on the Certificate of Title and any applicable mortgages. Once you have repaid your mortgage, you have the option to obtain a duplicate Certificate of Title for your own records.</w:t>
            </w:r>
          </w:p>
        </w:tc>
        <w:tc>
          <w:tcPr>
            <w:tcW w:w="5154" w:type="dxa"/>
          </w:tcPr>
          <w:p w14:paraId="3B824C32" w14:textId="77777777" w:rsidR="009177B7" w:rsidRPr="009177B7" w:rsidRDefault="009177B7" w:rsidP="009177B7">
            <w:pPr>
              <w:widowControl w:val="0"/>
              <w:spacing w:before="120" w:after="120"/>
              <w:ind w:right="-23"/>
              <w:outlineLvl w:val="0"/>
            </w:pPr>
            <w:r w:rsidRPr="009177B7">
              <w:t>A comparison rate reflects the true cost of your home loan. It takes into account the interest rate, the term of the loan, and any other up front or ongoing costs you are required to pay to the bank or financier associated with your home loan.</w:t>
            </w:r>
          </w:p>
          <w:p w14:paraId="10B1F85A" w14:textId="77777777" w:rsidR="009177B7" w:rsidRPr="009177B7" w:rsidRDefault="009177B7" w:rsidP="009177B7">
            <w:pPr>
              <w:widowControl w:val="0"/>
              <w:spacing w:before="120" w:after="120"/>
              <w:ind w:right="-23"/>
              <w:outlineLvl w:val="0"/>
            </w:pPr>
            <w:r w:rsidRPr="009177B7">
              <w:t>It’s also important to know that the comparison rate does not include:</w:t>
            </w:r>
          </w:p>
          <w:p w14:paraId="16915489" w14:textId="77777777" w:rsidR="009177B7" w:rsidRPr="009177B7" w:rsidRDefault="009177B7" w:rsidP="009177B7">
            <w:pPr>
              <w:widowControl w:val="0"/>
              <w:numPr>
                <w:ilvl w:val="0"/>
                <w:numId w:val="15"/>
              </w:numPr>
              <w:spacing w:before="120" w:after="120"/>
              <w:ind w:right="-23"/>
              <w:outlineLvl w:val="0"/>
            </w:pPr>
            <w:r w:rsidRPr="009177B7">
              <w:t>government charges, such as stamp duty or mortgage registration and discharge fees.</w:t>
            </w:r>
          </w:p>
          <w:p w14:paraId="11B37D21" w14:textId="420051AB" w:rsidR="009177B7" w:rsidRPr="009177B7" w:rsidRDefault="009177B7" w:rsidP="009177B7">
            <w:pPr>
              <w:widowControl w:val="0"/>
              <w:numPr>
                <w:ilvl w:val="0"/>
                <w:numId w:val="15"/>
              </w:numPr>
              <w:spacing w:before="120" w:after="120"/>
              <w:ind w:right="-23"/>
              <w:outlineLvl w:val="0"/>
            </w:pPr>
            <w:r w:rsidRPr="009177B7">
              <w:t>fees and charges which may not be available at the time the comparison rate is provided.</w:t>
            </w:r>
          </w:p>
        </w:tc>
      </w:tr>
      <w:tr w:rsidR="009177B7" w14:paraId="5EDA6BB4" w14:textId="77777777" w:rsidTr="004B70AA">
        <w:tc>
          <w:tcPr>
            <w:tcW w:w="5154" w:type="dxa"/>
          </w:tcPr>
          <w:p w14:paraId="3A55C740" w14:textId="2A5B61D9"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rPr>
                <w:rFonts w:ascii="Lato SemiBold" w:eastAsia="Times New Roman" w:hAnsi="Lato SemiBold"/>
                <w:bCs/>
                <w:color w:val="1F1F5F"/>
                <w:kern w:val="32"/>
                <w:sz w:val="36"/>
                <w:szCs w:val="32"/>
                <w:lang w:eastAsia="en-AU"/>
              </w:rPr>
              <w:lastRenderedPageBreak/>
              <w:t>Contract of Sale</w:t>
            </w:r>
          </w:p>
        </w:tc>
        <w:tc>
          <w:tcPr>
            <w:tcW w:w="5154" w:type="dxa"/>
          </w:tcPr>
          <w:p w14:paraId="07C9AC0F" w14:textId="05EA39C2"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rPr>
                <w:rFonts w:ascii="Lato SemiBold" w:eastAsia="Times New Roman" w:hAnsi="Lato SemiBold"/>
                <w:bCs/>
                <w:color w:val="1F1F5F"/>
                <w:kern w:val="32"/>
                <w:sz w:val="36"/>
                <w:szCs w:val="32"/>
                <w:lang w:eastAsia="en-AU"/>
              </w:rPr>
              <w:t>Credit Contract</w:t>
            </w:r>
          </w:p>
        </w:tc>
      </w:tr>
      <w:tr w:rsidR="009177B7" w14:paraId="52A015A9" w14:textId="77777777" w:rsidTr="004B70AA">
        <w:tc>
          <w:tcPr>
            <w:tcW w:w="5154" w:type="dxa"/>
          </w:tcPr>
          <w:p w14:paraId="7C62B154" w14:textId="5FF0EAA6" w:rsidR="009177B7" w:rsidRPr="009177B7" w:rsidRDefault="009177B7" w:rsidP="009177B7">
            <w:pPr>
              <w:widowControl w:val="0"/>
              <w:spacing w:before="120" w:after="120"/>
              <w:ind w:right="-23"/>
              <w:outlineLvl w:val="0"/>
            </w:pPr>
            <w:r w:rsidRPr="009177B7">
              <w:t>An agreement between the seller and buyer containing conditions for the sale of the property. You should read and understand this agreement before you sign it. It becomes unconditional once all special conditions are met. Once the contract of sale is unconditional, the agreement is binding and the sale must be completed by the date specified, otherwise late settlement fees will apply.</w:t>
            </w:r>
          </w:p>
        </w:tc>
        <w:tc>
          <w:tcPr>
            <w:tcW w:w="5154" w:type="dxa"/>
          </w:tcPr>
          <w:p w14:paraId="7139D4A8" w14:textId="0B94586F" w:rsidR="009177B7" w:rsidRPr="00BD29EF" w:rsidRDefault="00BD29EF" w:rsidP="009177B7">
            <w:pPr>
              <w:widowControl w:val="0"/>
              <w:spacing w:before="120" w:after="120"/>
              <w:ind w:right="-23"/>
              <w:outlineLvl w:val="0"/>
            </w:pPr>
            <w:r w:rsidRPr="00BD29EF">
              <w:t>The loan agreement with the bank or financier lending the money to purchase the property. This contract details information you need to know about the loan, including the interest rate, repayment amounts and whether the interest rate can change. This agreement is legally binding and you need to read and understand it before signing. If you are unsure of any details, you should seek independent legal advice.</w:t>
            </w:r>
          </w:p>
        </w:tc>
      </w:tr>
      <w:tr w:rsidR="009177B7" w14:paraId="40BC2363" w14:textId="77777777" w:rsidTr="004B70AA">
        <w:tc>
          <w:tcPr>
            <w:tcW w:w="5154" w:type="dxa"/>
          </w:tcPr>
          <w:p w14:paraId="7ACCEA31" w14:textId="7851E039"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rPr>
                <w:rFonts w:ascii="Lato SemiBold" w:eastAsia="Times New Roman" w:hAnsi="Lato SemiBold"/>
                <w:bCs/>
                <w:color w:val="1F1F5F"/>
                <w:kern w:val="32"/>
                <w:sz w:val="36"/>
                <w:szCs w:val="32"/>
                <w:lang w:eastAsia="en-AU"/>
              </w:rPr>
              <w:t xml:space="preserve">Credit </w:t>
            </w:r>
            <w:proofErr w:type="spellStart"/>
            <w:r w:rsidRPr="009177B7">
              <w:rPr>
                <w:rFonts w:ascii="Lato SemiBold" w:eastAsia="Times New Roman" w:hAnsi="Lato SemiBold"/>
                <w:bCs/>
                <w:color w:val="1F1F5F"/>
                <w:kern w:val="32"/>
                <w:sz w:val="36"/>
                <w:szCs w:val="32"/>
                <w:lang w:eastAsia="en-AU"/>
              </w:rPr>
              <w:t>foncier</w:t>
            </w:r>
            <w:proofErr w:type="spellEnd"/>
            <w:r w:rsidRPr="009177B7">
              <w:rPr>
                <w:rFonts w:ascii="Lato SemiBold" w:eastAsia="Times New Roman" w:hAnsi="Lato SemiBold"/>
                <w:bCs/>
                <w:color w:val="1F1F5F"/>
                <w:kern w:val="32"/>
                <w:sz w:val="36"/>
                <w:szCs w:val="32"/>
                <w:lang w:eastAsia="en-AU"/>
              </w:rPr>
              <w:t xml:space="preserve"> loan</w:t>
            </w:r>
          </w:p>
        </w:tc>
        <w:tc>
          <w:tcPr>
            <w:tcW w:w="5154" w:type="dxa"/>
          </w:tcPr>
          <w:p w14:paraId="22415DE7" w14:textId="7739B6CE"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Pr>
                <w:rFonts w:ascii="Lato SemiBold" w:eastAsia="Times New Roman" w:hAnsi="Lato SemiBold"/>
                <w:bCs/>
                <w:color w:val="1F1F5F"/>
                <w:kern w:val="32"/>
                <w:sz w:val="36"/>
                <w:szCs w:val="32"/>
                <w:lang w:eastAsia="en-AU"/>
              </w:rPr>
              <w:t>E</w:t>
            </w:r>
            <w:r w:rsidRPr="009177B7">
              <w:rPr>
                <w:rFonts w:ascii="Lato SemiBold" w:eastAsia="Times New Roman" w:hAnsi="Lato SemiBold"/>
                <w:bCs/>
                <w:color w:val="1F1F5F"/>
                <w:kern w:val="32"/>
                <w:sz w:val="36"/>
                <w:szCs w:val="32"/>
                <w:lang w:eastAsia="en-AU"/>
              </w:rPr>
              <w:t>asement</w:t>
            </w:r>
          </w:p>
        </w:tc>
      </w:tr>
      <w:tr w:rsidR="009177B7" w14:paraId="4F8D289C" w14:textId="77777777" w:rsidTr="004B70AA">
        <w:tc>
          <w:tcPr>
            <w:tcW w:w="5154" w:type="dxa"/>
          </w:tcPr>
          <w:p w14:paraId="6A3B1000" w14:textId="3E206CF5" w:rsidR="009177B7" w:rsidRPr="009177B7" w:rsidRDefault="00BD29EF"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BD29EF">
              <w:t>A loan where the repayments cover the interest and the principal, which reduces over the term of the loan.</w:t>
            </w:r>
          </w:p>
        </w:tc>
        <w:tc>
          <w:tcPr>
            <w:tcW w:w="5154" w:type="dxa"/>
          </w:tcPr>
          <w:p w14:paraId="76E1CD48" w14:textId="50A208DC" w:rsidR="009177B7" w:rsidRPr="00BD29EF" w:rsidRDefault="00BD29EF" w:rsidP="009177B7">
            <w:pPr>
              <w:widowControl w:val="0"/>
              <w:spacing w:before="120" w:after="120"/>
              <w:ind w:right="-23"/>
              <w:outlineLvl w:val="0"/>
            </w:pPr>
            <w:r w:rsidRPr="00BD29EF">
              <w:t xml:space="preserve">A right for someone else to use your property for a particular purpose. The most common is a </w:t>
            </w:r>
            <w:proofErr w:type="spellStart"/>
            <w:r w:rsidRPr="00BD29EF">
              <w:t>PowerWater</w:t>
            </w:r>
            <w:proofErr w:type="spellEnd"/>
            <w:r w:rsidRPr="00BD29EF">
              <w:t xml:space="preserve"> easement or a neighbour’s access to their property.</w:t>
            </w:r>
          </w:p>
        </w:tc>
      </w:tr>
      <w:tr w:rsidR="009177B7" w14:paraId="2FEA553F" w14:textId="77777777" w:rsidTr="004B70AA">
        <w:tc>
          <w:tcPr>
            <w:tcW w:w="5154" w:type="dxa"/>
          </w:tcPr>
          <w:p w14:paraId="1EC5B499" w14:textId="6548840F"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rPr>
                <w:rFonts w:ascii="Lato SemiBold" w:eastAsia="Times New Roman" w:hAnsi="Lato SemiBold"/>
                <w:bCs/>
                <w:color w:val="1F1F5F"/>
                <w:kern w:val="32"/>
                <w:sz w:val="36"/>
                <w:szCs w:val="32"/>
                <w:lang w:eastAsia="en-AU"/>
              </w:rPr>
              <w:t>Equity</w:t>
            </w:r>
          </w:p>
        </w:tc>
        <w:tc>
          <w:tcPr>
            <w:tcW w:w="5154" w:type="dxa"/>
          </w:tcPr>
          <w:p w14:paraId="21AE1F0F" w14:textId="28A957C2"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rPr>
                <w:rFonts w:ascii="Lato SemiBold" w:eastAsia="Times New Roman" w:hAnsi="Lato SemiBold"/>
                <w:bCs/>
                <w:color w:val="1F1F5F"/>
                <w:kern w:val="32"/>
                <w:sz w:val="36"/>
                <w:szCs w:val="32"/>
                <w:lang w:eastAsia="en-AU"/>
              </w:rPr>
              <w:t>Fixtures and fittings</w:t>
            </w:r>
          </w:p>
        </w:tc>
      </w:tr>
      <w:tr w:rsidR="009177B7" w14:paraId="18561351" w14:textId="77777777" w:rsidTr="004B70AA">
        <w:tc>
          <w:tcPr>
            <w:tcW w:w="5154" w:type="dxa"/>
          </w:tcPr>
          <w:p w14:paraId="286AC8B1" w14:textId="39589FFD" w:rsidR="009177B7" w:rsidRPr="009177B7" w:rsidRDefault="00BD29EF"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BD29EF">
              <w:t>The equity in a property is the value of the property less any debts owing on the property.</w:t>
            </w:r>
          </w:p>
        </w:tc>
        <w:tc>
          <w:tcPr>
            <w:tcW w:w="5154" w:type="dxa"/>
          </w:tcPr>
          <w:p w14:paraId="23A1FC3A" w14:textId="4E964213" w:rsidR="009177B7" w:rsidRPr="00BD29EF" w:rsidRDefault="00BD29EF" w:rsidP="00BD29EF">
            <w:pPr>
              <w:spacing w:before="120" w:after="120"/>
            </w:pPr>
            <w:r w:rsidRPr="00D7044A">
              <w:t>Items attached to a house that are legally considered to be part of the house. For example, a stove or light fittings. When a property is sold, the fixtures and fittings cannot be removed unless agreed in the contract of sale. Check what is included with the real estate agent before signing the contract of sale.</w:t>
            </w:r>
          </w:p>
        </w:tc>
      </w:tr>
      <w:tr w:rsidR="009177B7" w14:paraId="0BD646C9" w14:textId="77777777" w:rsidTr="004B70AA">
        <w:tc>
          <w:tcPr>
            <w:tcW w:w="5154" w:type="dxa"/>
          </w:tcPr>
          <w:p w14:paraId="596CC9A5" w14:textId="7159B6DF"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rPr>
                <w:rFonts w:ascii="Lato SemiBold" w:eastAsia="Times New Roman" w:hAnsi="Lato SemiBold"/>
                <w:bCs/>
                <w:color w:val="1F1F5F"/>
                <w:kern w:val="32"/>
                <w:sz w:val="36"/>
                <w:szCs w:val="32"/>
                <w:lang w:eastAsia="en-AU"/>
              </w:rPr>
              <w:t>Freehold</w:t>
            </w:r>
          </w:p>
        </w:tc>
        <w:tc>
          <w:tcPr>
            <w:tcW w:w="5154" w:type="dxa"/>
          </w:tcPr>
          <w:p w14:paraId="3D80A8BE" w14:textId="0ACBB188"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rPr>
                <w:rFonts w:ascii="Lato SemiBold" w:eastAsia="Times New Roman" w:hAnsi="Lato SemiBold"/>
                <w:bCs/>
                <w:color w:val="1F1F5F"/>
                <w:kern w:val="32"/>
                <w:sz w:val="36"/>
                <w:szCs w:val="32"/>
                <w:lang w:eastAsia="en-AU"/>
              </w:rPr>
              <w:t>Interest only loan</w:t>
            </w:r>
          </w:p>
        </w:tc>
      </w:tr>
      <w:tr w:rsidR="009177B7" w14:paraId="43F7E5E3" w14:textId="77777777" w:rsidTr="004B70AA">
        <w:tc>
          <w:tcPr>
            <w:tcW w:w="5154" w:type="dxa"/>
          </w:tcPr>
          <w:p w14:paraId="0411D66C" w14:textId="267461CE" w:rsidR="009177B7" w:rsidRPr="00BD29EF" w:rsidRDefault="00BD29EF" w:rsidP="00BD29EF">
            <w:pPr>
              <w:spacing w:before="120" w:after="120"/>
            </w:pPr>
            <w:r w:rsidRPr="00D7044A">
              <w:t>A form of ownership of land. Most land that can be mortgaged in the Northern Territory is either freehold title or a Crown Lease. Freehold land can be sold, mortgaged or leased without the permission of the Crown (the Northern Territory Government).</w:t>
            </w:r>
          </w:p>
        </w:tc>
        <w:tc>
          <w:tcPr>
            <w:tcW w:w="5154" w:type="dxa"/>
          </w:tcPr>
          <w:p w14:paraId="3B5B988B" w14:textId="23671C2B" w:rsidR="009177B7" w:rsidRPr="00BD29EF" w:rsidRDefault="00BD29EF" w:rsidP="00BD29EF">
            <w:pPr>
              <w:spacing w:before="120" w:after="120"/>
            </w:pPr>
            <w:r w:rsidRPr="00D7044A">
              <w:t>Loan where the repayments only cover the interest and the principal does not reduce.</w:t>
            </w:r>
          </w:p>
        </w:tc>
      </w:tr>
      <w:tr w:rsidR="009177B7" w14:paraId="47948234" w14:textId="77777777" w:rsidTr="004B70AA">
        <w:tc>
          <w:tcPr>
            <w:tcW w:w="5154" w:type="dxa"/>
          </w:tcPr>
          <w:p w14:paraId="26EC86EC" w14:textId="44A7BA74"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rPr>
                <w:rFonts w:ascii="Lato SemiBold" w:eastAsia="Times New Roman" w:hAnsi="Lato SemiBold"/>
                <w:bCs/>
                <w:color w:val="1F1F5F"/>
                <w:kern w:val="32"/>
                <w:sz w:val="36"/>
                <w:szCs w:val="32"/>
                <w:lang w:eastAsia="en-AU"/>
              </w:rPr>
              <w:t>Lands Titles Office</w:t>
            </w:r>
          </w:p>
        </w:tc>
        <w:tc>
          <w:tcPr>
            <w:tcW w:w="5154" w:type="dxa"/>
          </w:tcPr>
          <w:p w14:paraId="5B00C50E" w14:textId="142A617C"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rPr>
                <w:rFonts w:ascii="Lato SemiBold" w:eastAsia="Times New Roman" w:hAnsi="Lato SemiBold"/>
                <w:bCs/>
                <w:color w:val="1F1F5F"/>
                <w:kern w:val="32"/>
                <w:sz w:val="36"/>
                <w:szCs w:val="32"/>
                <w:lang w:eastAsia="en-AU"/>
              </w:rPr>
              <w:t>Market value</w:t>
            </w:r>
          </w:p>
        </w:tc>
      </w:tr>
      <w:tr w:rsidR="009177B7" w14:paraId="7CB3DD18" w14:textId="77777777" w:rsidTr="004B70AA">
        <w:tc>
          <w:tcPr>
            <w:tcW w:w="5154" w:type="dxa"/>
          </w:tcPr>
          <w:p w14:paraId="562112FD" w14:textId="03F2D69F" w:rsidR="009177B7" w:rsidRPr="00BD29EF" w:rsidRDefault="00BD29EF" w:rsidP="00BD29EF">
            <w:pPr>
              <w:spacing w:before="120" w:after="120"/>
            </w:pPr>
            <w:r w:rsidRPr="00D7044A">
              <w:t>Commonly referred to as the LTO. It is the government department that holds the land registration records.</w:t>
            </w:r>
          </w:p>
        </w:tc>
        <w:tc>
          <w:tcPr>
            <w:tcW w:w="5154" w:type="dxa"/>
          </w:tcPr>
          <w:p w14:paraId="4DE24668" w14:textId="037CDA31" w:rsidR="009177B7" w:rsidRPr="00BD29EF" w:rsidRDefault="00BD29EF" w:rsidP="00BD29EF">
            <w:pPr>
              <w:spacing w:before="120" w:after="120"/>
            </w:pPr>
            <w:r w:rsidRPr="00D7044A">
              <w:t>The price your home is likely to sell for, as determined by the Valuer-General.</w:t>
            </w:r>
          </w:p>
        </w:tc>
      </w:tr>
      <w:tr w:rsidR="009177B7" w14:paraId="49E9E734" w14:textId="77777777" w:rsidTr="004B70AA">
        <w:tc>
          <w:tcPr>
            <w:tcW w:w="5154" w:type="dxa"/>
          </w:tcPr>
          <w:p w14:paraId="7E9D6EE8" w14:textId="11CAF089"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rPr>
                <w:rFonts w:ascii="Lato SemiBold" w:eastAsia="Times New Roman" w:hAnsi="Lato SemiBold"/>
                <w:bCs/>
                <w:color w:val="1F1F5F"/>
                <w:kern w:val="32"/>
                <w:sz w:val="36"/>
                <w:szCs w:val="32"/>
                <w:lang w:eastAsia="en-AU"/>
              </w:rPr>
              <w:t>Mortgage</w:t>
            </w:r>
          </w:p>
        </w:tc>
        <w:tc>
          <w:tcPr>
            <w:tcW w:w="5154" w:type="dxa"/>
          </w:tcPr>
          <w:p w14:paraId="78B4C4AC" w14:textId="00FA261C"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rPr>
                <w:rFonts w:ascii="Lato SemiBold" w:eastAsia="Times New Roman" w:hAnsi="Lato SemiBold"/>
                <w:bCs/>
                <w:color w:val="1F1F5F"/>
                <w:kern w:val="32"/>
                <w:sz w:val="36"/>
                <w:szCs w:val="32"/>
                <w:lang w:eastAsia="en-AU"/>
              </w:rPr>
              <w:t>Mortgagee</w:t>
            </w:r>
          </w:p>
        </w:tc>
      </w:tr>
      <w:tr w:rsidR="009177B7" w14:paraId="7D34047A" w14:textId="77777777" w:rsidTr="004B70AA">
        <w:tc>
          <w:tcPr>
            <w:tcW w:w="5154" w:type="dxa"/>
          </w:tcPr>
          <w:p w14:paraId="33AF1D4A" w14:textId="5A742BF8" w:rsidR="009177B7" w:rsidRPr="00BD29EF" w:rsidRDefault="00BD29EF" w:rsidP="00BD29EF">
            <w:pPr>
              <w:spacing w:before="120" w:after="120"/>
            </w:pPr>
            <w:r w:rsidRPr="00D7044A">
              <w:lastRenderedPageBreak/>
              <w:t>The legal document that allows the lender to sell the property to recover the loan if you breach the credit contract.</w:t>
            </w:r>
          </w:p>
        </w:tc>
        <w:tc>
          <w:tcPr>
            <w:tcW w:w="5154" w:type="dxa"/>
          </w:tcPr>
          <w:p w14:paraId="60036484" w14:textId="78AFA634" w:rsidR="009177B7" w:rsidRPr="00BD29EF" w:rsidRDefault="00BD29EF" w:rsidP="00BD29EF">
            <w:pPr>
              <w:spacing w:before="120" w:after="120"/>
            </w:pPr>
            <w:r w:rsidRPr="00D7044A">
              <w:t>The person or business lending the money. The lender.</w:t>
            </w:r>
          </w:p>
        </w:tc>
      </w:tr>
    </w:tbl>
    <w:p w14:paraId="0CABA368" w14:textId="77777777" w:rsidR="00BD29EF" w:rsidRDefault="00BD29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9177B7" w14:paraId="26DC6A7A" w14:textId="77777777" w:rsidTr="004B70AA">
        <w:tc>
          <w:tcPr>
            <w:tcW w:w="5154" w:type="dxa"/>
          </w:tcPr>
          <w:p w14:paraId="0D25F362" w14:textId="504EAEE4"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rPr>
                <w:rFonts w:ascii="Lato SemiBold" w:eastAsia="Times New Roman" w:hAnsi="Lato SemiBold"/>
                <w:bCs/>
                <w:color w:val="1F1F5F"/>
                <w:kern w:val="32"/>
                <w:sz w:val="36"/>
                <w:szCs w:val="32"/>
                <w:lang w:eastAsia="en-AU"/>
              </w:rPr>
              <w:t>Mortgagor</w:t>
            </w:r>
          </w:p>
        </w:tc>
        <w:tc>
          <w:tcPr>
            <w:tcW w:w="5154" w:type="dxa"/>
          </w:tcPr>
          <w:p w14:paraId="03F69C72" w14:textId="7EB495AF"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rPr>
                <w:rFonts w:ascii="Lato SemiBold" w:eastAsia="Times New Roman" w:hAnsi="Lato SemiBold"/>
                <w:bCs/>
                <w:color w:val="1F1F5F"/>
                <w:kern w:val="32"/>
                <w:sz w:val="36"/>
                <w:szCs w:val="32"/>
                <w:lang w:eastAsia="en-AU"/>
              </w:rPr>
              <w:t>Permit to Occupy</w:t>
            </w:r>
          </w:p>
        </w:tc>
      </w:tr>
      <w:tr w:rsidR="009177B7" w14:paraId="6C7C7FC9" w14:textId="77777777" w:rsidTr="004B70AA">
        <w:tc>
          <w:tcPr>
            <w:tcW w:w="5154" w:type="dxa"/>
          </w:tcPr>
          <w:p w14:paraId="7F240F3F" w14:textId="5DEF3509" w:rsidR="009177B7" w:rsidRPr="00BD29EF" w:rsidRDefault="00BD29EF" w:rsidP="00BD29EF">
            <w:pPr>
              <w:spacing w:before="120" w:after="120"/>
            </w:pPr>
            <w:r w:rsidRPr="00D7044A">
              <w:t>The person offering the security, usually the person who has borrowed the money.</w:t>
            </w:r>
          </w:p>
        </w:tc>
        <w:tc>
          <w:tcPr>
            <w:tcW w:w="5154" w:type="dxa"/>
          </w:tcPr>
          <w:p w14:paraId="165830A1" w14:textId="77777777" w:rsidR="00BD29EF" w:rsidRPr="00D7044A" w:rsidRDefault="00BD29EF" w:rsidP="00BD29EF">
            <w:r w:rsidRPr="00D7044A">
              <w:t>This is issued on behalf of the Building Board stating that the building meets the Building Code.</w:t>
            </w:r>
          </w:p>
          <w:p w14:paraId="2569F22D" w14:textId="2842F22A" w:rsidR="009177B7" w:rsidRPr="00BD29EF" w:rsidRDefault="00BD29EF" w:rsidP="00BD29EF">
            <w:pPr>
              <w:spacing w:before="120" w:after="120"/>
            </w:pPr>
            <w:r w:rsidRPr="00D7044A">
              <w:t>It was previously called Certificate of Completion or Certificate of Compliance.</w:t>
            </w:r>
          </w:p>
        </w:tc>
      </w:tr>
      <w:tr w:rsidR="009177B7" w14:paraId="5CF19A55" w14:textId="77777777" w:rsidTr="004B70AA">
        <w:tc>
          <w:tcPr>
            <w:tcW w:w="5154" w:type="dxa"/>
          </w:tcPr>
          <w:p w14:paraId="28765E37" w14:textId="20D5D3F4"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rPr>
                <w:rFonts w:ascii="Lato SemiBold" w:eastAsia="Times New Roman" w:hAnsi="Lato SemiBold"/>
                <w:bCs/>
                <w:color w:val="1F1F5F"/>
                <w:kern w:val="32"/>
                <w:sz w:val="36"/>
                <w:szCs w:val="32"/>
                <w:lang w:eastAsia="en-AU"/>
              </w:rPr>
              <w:t>Principal</w:t>
            </w:r>
          </w:p>
        </w:tc>
        <w:tc>
          <w:tcPr>
            <w:tcW w:w="5154" w:type="dxa"/>
          </w:tcPr>
          <w:p w14:paraId="6009398C" w14:textId="6F228873"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rPr>
                <w:rFonts w:ascii="Lato SemiBold" w:eastAsia="Times New Roman" w:hAnsi="Lato SemiBold"/>
                <w:bCs/>
                <w:color w:val="1F1F5F"/>
                <w:kern w:val="32"/>
                <w:sz w:val="36"/>
                <w:szCs w:val="32"/>
                <w:lang w:eastAsia="en-AU"/>
              </w:rPr>
              <w:t>Rates</w:t>
            </w:r>
          </w:p>
        </w:tc>
      </w:tr>
      <w:tr w:rsidR="009177B7" w14:paraId="0EE5083A" w14:textId="77777777" w:rsidTr="004B70AA">
        <w:tc>
          <w:tcPr>
            <w:tcW w:w="5154" w:type="dxa"/>
          </w:tcPr>
          <w:p w14:paraId="2B09D70C" w14:textId="784FF0C3" w:rsidR="009177B7" w:rsidRPr="009177B7" w:rsidRDefault="00BD29EF"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BD29EF">
              <w:t>The initial amount of money borrowed.</w:t>
            </w:r>
          </w:p>
        </w:tc>
        <w:tc>
          <w:tcPr>
            <w:tcW w:w="5154" w:type="dxa"/>
          </w:tcPr>
          <w:p w14:paraId="338BA27B" w14:textId="11B65986" w:rsidR="009177B7" w:rsidRPr="00BD29EF" w:rsidRDefault="00BD29EF" w:rsidP="00BD29EF">
            <w:pPr>
              <w:spacing w:before="120" w:after="120"/>
            </w:pPr>
            <w:r w:rsidRPr="00D7044A">
              <w:t>Fees paid to the council for services such as rubbish collection. At settlement the buyer reimburses the seller for any rates they have prepaid. This is calculated by your conveyancer or solicitor.</w:t>
            </w:r>
          </w:p>
        </w:tc>
      </w:tr>
      <w:tr w:rsidR="009177B7" w14:paraId="5444DAA9" w14:textId="77777777" w:rsidTr="004B70AA">
        <w:tc>
          <w:tcPr>
            <w:tcW w:w="5154" w:type="dxa"/>
          </w:tcPr>
          <w:p w14:paraId="7F260F95" w14:textId="18330CA3"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rPr>
                <w:rFonts w:ascii="Lato SemiBold" w:eastAsia="Times New Roman" w:hAnsi="Lato SemiBold"/>
                <w:bCs/>
                <w:color w:val="1F1F5F"/>
                <w:kern w:val="32"/>
                <w:sz w:val="36"/>
                <w:szCs w:val="32"/>
                <w:lang w:eastAsia="en-AU"/>
              </w:rPr>
              <w:t>Reference rate</w:t>
            </w:r>
          </w:p>
        </w:tc>
        <w:tc>
          <w:tcPr>
            <w:tcW w:w="5154" w:type="dxa"/>
          </w:tcPr>
          <w:p w14:paraId="7230C6BB" w14:textId="5587948B"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rPr>
                <w:rFonts w:ascii="Lato SemiBold" w:eastAsia="Times New Roman" w:hAnsi="Lato SemiBold"/>
                <w:bCs/>
                <w:color w:val="1F1F5F"/>
                <w:kern w:val="32"/>
                <w:sz w:val="36"/>
                <w:szCs w:val="32"/>
                <w:lang w:eastAsia="en-AU"/>
              </w:rPr>
              <w:t>Settlement date</w:t>
            </w:r>
          </w:p>
        </w:tc>
      </w:tr>
      <w:tr w:rsidR="009177B7" w14:paraId="2FA1673F" w14:textId="77777777" w:rsidTr="004B70AA">
        <w:tc>
          <w:tcPr>
            <w:tcW w:w="5154" w:type="dxa"/>
          </w:tcPr>
          <w:p w14:paraId="49E5E885" w14:textId="60D7B51B" w:rsidR="009177B7" w:rsidRPr="00BD29EF" w:rsidRDefault="00BD29EF" w:rsidP="00BD29EF">
            <w:pPr>
              <w:spacing w:before="120" w:after="120"/>
            </w:pPr>
            <w:r w:rsidRPr="00D7044A">
              <w:t>A reference rate is a benchmark, index or other reference rate (</w:t>
            </w:r>
            <w:r w:rsidRPr="00BD29EF">
              <w:rPr>
                <w:i/>
              </w:rPr>
              <w:t>National Consumer Credit Protection Act 2009</w:t>
            </w:r>
            <w:r>
              <w:t xml:space="preserve">). </w:t>
            </w:r>
            <w:proofErr w:type="spellStart"/>
            <w:r w:rsidRPr="00D7044A">
              <w:t>HomeBuild</w:t>
            </w:r>
            <w:proofErr w:type="spellEnd"/>
            <w:r w:rsidRPr="00D7044A">
              <w:t xml:space="preserve"> Access loans have a reference rate based on either the Commonwealth Bank of Australia’s Standard Home Loan Variable Rate or the People’s Choice Standard Variable Home Loan Rate.</w:t>
            </w:r>
          </w:p>
        </w:tc>
        <w:tc>
          <w:tcPr>
            <w:tcW w:w="5154" w:type="dxa"/>
          </w:tcPr>
          <w:p w14:paraId="14161E9F" w14:textId="7D868F71" w:rsidR="009177B7" w:rsidRPr="00BD29EF" w:rsidRDefault="00BD29EF" w:rsidP="00BD29EF">
            <w:pPr>
              <w:spacing w:before="120" w:after="120"/>
            </w:pPr>
            <w:r w:rsidRPr="00D7044A">
              <w:t>The day the money is paid in exchange for the Certificate of Title document. If you are borrowing money, the lender h</w:t>
            </w:r>
            <w:r w:rsidR="004B70AA">
              <w:t xml:space="preserve">olds the Certificate of Title. </w:t>
            </w:r>
            <w:r w:rsidRPr="00D7044A">
              <w:t>This can also be referred to as Completion Date in Contracts of Sale.</w:t>
            </w:r>
          </w:p>
        </w:tc>
      </w:tr>
      <w:tr w:rsidR="009177B7" w14:paraId="001EFE59" w14:textId="77777777" w:rsidTr="004B70AA">
        <w:tc>
          <w:tcPr>
            <w:tcW w:w="5154" w:type="dxa"/>
          </w:tcPr>
          <w:p w14:paraId="1588E50F" w14:textId="05CC58EF"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rPr>
                <w:rFonts w:ascii="Lato SemiBold" w:eastAsia="Times New Roman" w:hAnsi="Lato SemiBold"/>
                <w:bCs/>
                <w:color w:val="1F1F5F"/>
                <w:kern w:val="32"/>
                <w:sz w:val="36"/>
                <w:szCs w:val="32"/>
                <w:lang w:eastAsia="en-AU"/>
              </w:rPr>
              <w:t>Strata Title</w:t>
            </w:r>
          </w:p>
        </w:tc>
        <w:tc>
          <w:tcPr>
            <w:tcW w:w="5154" w:type="dxa"/>
          </w:tcPr>
          <w:p w14:paraId="3FC83ED3" w14:textId="127CCA4C" w:rsidR="009177B7" w:rsidRPr="009177B7" w:rsidRDefault="009177B7" w:rsidP="009177B7">
            <w:pPr>
              <w:widowControl w:val="0"/>
              <w:spacing w:before="120" w:after="120"/>
              <w:ind w:right="-23"/>
              <w:outlineLvl w:val="0"/>
              <w:rPr>
                <w:rFonts w:ascii="Lato SemiBold" w:eastAsia="Times New Roman" w:hAnsi="Lato SemiBold"/>
                <w:bCs/>
                <w:color w:val="1F1F5F"/>
                <w:kern w:val="32"/>
                <w:sz w:val="36"/>
                <w:szCs w:val="32"/>
                <w:lang w:eastAsia="en-AU"/>
              </w:rPr>
            </w:pPr>
            <w:r w:rsidRPr="009177B7">
              <w:rPr>
                <w:rFonts w:ascii="Lato SemiBold" w:eastAsia="Times New Roman" w:hAnsi="Lato SemiBold"/>
                <w:bCs/>
                <w:color w:val="1F1F5F"/>
                <w:kern w:val="32"/>
                <w:sz w:val="36"/>
                <w:szCs w:val="32"/>
                <w:lang w:eastAsia="en-AU"/>
              </w:rPr>
              <w:t>Variable Interest Rate</w:t>
            </w:r>
          </w:p>
        </w:tc>
      </w:tr>
      <w:tr w:rsidR="009177B7" w14:paraId="16A1C4A7" w14:textId="77777777" w:rsidTr="004B70AA">
        <w:tc>
          <w:tcPr>
            <w:tcW w:w="5154" w:type="dxa"/>
          </w:tcPr>
          <w:p w14:paraId="4DA1C76A" w14:textId="24050FC4" w:rsidR="009177B7" w:rsidRPr="00BD29EF" w:rsidRDefault="00BD29EF" w:rsidP="00BD29EF">
            <w:pPr>
              <w:spacing w:before="120" w:after="120"/>
            </w:pPr>
            <w:r w:rsidRPr="00D7044A">
              <w:t>This is where a block of units, apartments or town houses have an individual Certificate of Title for each unit or townhouse, and one for the common property. The common property is the area used by all the unit holders such as the driveway.</w:t>
            </w:r>
          </w:p>
        </w:tc>
        <w:tc>
          <w:tcPr>
            <w:tcW w:w="5154" w:type="dxa"/>
          </w:tcPr>
          <w:p w14:paraId="526C0FAA" w14:textId="2A050A7C" w:rsidR="009177B7" w:rsidRPr="00BD29EF" w:rsidRDefault="00BD29EF" w:rsidP="00BD29EF">
            <w:pPr>
              <w:spacing w:before="120" w:after="120"/>
            </w:pPr>
            <w:r w:rsidRPr="00D7044A">
              <w:t xml:space="preserve">An interest rate that will vary from time to time in accordance with changes to the reference rate. </w:t>
            </w:r>
            <w:proofErr w:type="spellStart"/>
            <w:r w:rsidRPr="00D7044A">
              <w:t>HomeBuild</w:t>
            </w:r>
            <w:proofErr w:type="spellEnd"/>
            <w:r w:rsidRPr="00D7044A">
              <w:t xml:space="preserve"> Access loans have a reference rate based on either the Commonwealth Bank of Australia’s Standard Home Loan Variable Rate or the People’s Choice Standard Variable Home Loan Rate. So if the Commonwealth Bank or People’s Choice interest rate changes, so will the interest rate for </w:t>
            </w:r>
            <w:proofErr w:type="spellStart"/>
            <w:r w:rsidRPr="00D7044A">
              <w:t>HomeBuild</w:t>
            </w:r>
            <w:proofErr w:type="spellEnd"/>
            <w:r w:rsidRPr="00D7044A">
              <w:t xml:space="preserve"> Access home loa</w:t>
            </w:r>
            <w:r>
              <w:t>n.</w:t>
            </w:r>
          </w:p>
        </w:tc>
      </w:tr>
    </w:tbl>
    <w:p w14:paraId="43673BF3" w14:textId="77777777" w:rsidR="009177B7" w:rsidRDefault="009177B7" w:rsidP="00A1780A">
      <w:pPr>
        <w:spacing w:after="0"/>
      </w:pPr>
    </w:p>
    <w:p w14:paraId="5BB6C043" w14:textId="3E043B64" w:rsidR="00AF0E1D" w:rsidRPr="00AF0E1D" w:rsidRDefault="00AF0E1D" w:rsidP="00A1780A">
      <w:pPr>
        <w:spacing w:after="0"/>
        <w:rPr>
          <w:sz w:val="14"/>
        </w:rPr>
      </w:pPr>
      <w:r w:rsidRPr="00AF0E1D">
        <w:rPr>
          <w:sz w:val="14"/>
        </w:rPr>
        <w:t xml:space="preserve">Disclaimer: Whilst the Chief Executive Officer (Housing) has made every effort to ensure the accuracy of information in this fact sheet, no warranty is given that the information in this document is free from errors or omissions and that it is suitable for your circumstances. The information in this document is subject to change without notice to you and has been prepared without taking into account your particular financial situation, requirements and objectives or needs. You should seek independent legal and financial advice before considering whether to act or rely upon the information in this document. </w:t>
      </w:r>
    </w:p>
    <w:p w14:paraId="32FC1088" w14:textId="2CEAE969" w:rsidR="00AF0E1D" w:rsidRPr="00AF0E1D" w:rsidRDefault="00AF0E1D" w:rsidP="00A1780A">
      <w:pPr>
        <w:spacing w:after="0"/>
        <w:rPr>
          <w:sz w:val="14"/>
        </w:rPr>
      </w:pPr>
    </w:p>
    <w:p w14:paraId="526B5FCC" w14:textId="77777777" w:rsidR="000B0A8B" w:rsidRPr="003B563F" w:rsidRDefault="000B0A8B" w:rsidP="000B0A8B">
      <w:pPr>
        <w:spacing w:after="0"/>
        <w:rPr>
          <w:sz w:val="14"/>
        </w:rPr>
      </w:pPr>
      <w:r w:rsidRPr="00FE2B7A">
        <w:rPr>
          <w:sz w:val="14"/>
        </w:rPr>
        <w:t xml:space="preserve">People’s Choice Credit Union (“People’s Choice”), </w:t>
      </w:r>
      <w:r w:rsidRPr="00B964D2">
        <w:rPr>
          <w:sz w:val="14"/>
        </w:rPr>
        <w:t xml:space="preserve">a trading name of </w:t>
      </w:r>
      <w:r w:rsidRPr="00FE2B7A">
        <w:rPr>
          <w:sz w:val="14"/>
        </w:rPr>
        <w:t xml:space="preserve">Heritage and People’s Choice </w:t>
      </w:r>
      <w:r w:rsidRPr="00B964D2">
        <w:rPr>
          <w:sz w:val="14"/>
        </w:rPr>
        <w:t>Ltd ABN 11 087 651 125, Australian Financial Services Licence 244310 and Australian Credit Licence 244310.  Pursuant to the Territory Insurance Office (Sale) Act 2014 (NT), People’s Choice is the successor in law to the Territory Insurance Office in respect of its banking business.  People’s Choice has replaced TIO as agent for Chief Executive Officer (Housing). People’s Choice is authorised to use the TIO mark under licence from Allianz Australia Insurance Limited.</w:t>
      </w:r>
    </w:p>
    <w:p w14:paraId="4B093729" w14:textId="4C6E0663" w:rsidR="00AF0E1D" w:rsidRPr="00AF0E1D" w:rsidRDefault="00AF0E1D" w:rsidP="001C1416">
      <w:pPr>
        <w:spacing w:after="0"/>
        <w:rPr>
          <w:bCs/>
          <w:sz w:val="14"/>
        </w:rPr>
      </w:pPr>
    </w:p>
    <w:sectPr w:rsidR="00AF0E1D" w:rsidRPr="00AF0E1D" w:rsidSect="00CC571B">
      <w:headerReference w:type="even" r:id="rId12"/>
      <w:headerReference w:type="default" r:id="rId13"/>
      <w:footerReference w:type="even"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1B697" w14:textId="77777777" w:rsidR="00C2171F" w:rsidRDefault="00C2171F" w:rsidP="007332FF">
      <w:r>
        <w:separator/>
      </w:r>
    </w:p>
  </w:endnote>
  <w:endnote w:type="continuationSeparator" w:id="0">
    <w:p w14:paraId="2A50043B" w14:textId="77777777" w:rsidR="00C2171F" w:rsidRDefault="00C2171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624D" w14:textId="77777777" w:rsidR="00FB498F" w:rsidRDefault="00FB4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5A6DE"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7089C40E" w14:textId="77777777" w:rsidTr="001D258A">
      <w:trPr>
        <w:cantSplit/>
        <w:trHeight w:hRule="exact" w:val="567"/>
      </w:trPr>
      <w:tc>
        <w:tcPr>
          <w:tcW w:w="10318" w:type="dxa"/>
          <w:vAlign w:val="bottom"/>
        </w:tcPr>
        <w:p w14:paraId="47AF6020" w14:textId="19A29B11"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32E5E2965F1E4BFCBD0167C153D16F10"/>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C24144">
                <w:rPr>
                  <w:rStyle w:val="PageNumber"/>
                  <w:b/>
                </w:rPr>
                <w:t>TERRITORY FAMILIES, HOUSING AND COMMUNITIES</w:t>
              </w:r>
            </w:sdtContent>
          </w:sdt>
        </w:p>
        <w:p w14:paraId="2E077E6C" w14:textId="23586D3D"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64F25">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64F25">
            <w:rPr>
              <w:rStyle w:val="PageNumber"/>
              <w:noProof/>
            </w:rPr>
            <w:t>3</w:t>
          </w:r>
          <w:r w:rsidRPr="00AC4488">
            <w:rPr>
              <w:rStyle w:val="PageNumber"/>
            </w:rPr>
            <w:fldChar w:fldCharType="end"/>
          </w:r>
        </w:p>
      </w:tc>
    </w:tr>
  </w:tbl>
  <w:p w14:paraId="70335095" w14:textId="77777777" w:rsidR="00CA36A0" w:rsidRPr="00996655" w:rsidRDefault="00CA36A0" w:rsidP="00996655">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CC50" w14:textId="77777777" w:rsidR="00D15D88" w:rsidRDefault="00D15D88" w:rsidP="00C0326E">
    <w:pPr>
      <w:spacing w:after="0"/>
    </w:pPr>
  </w:p>
  <w:p w14:paraId="25AFEBDC"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3905799A" w14:textId="77777777" w:rsidTr="008921B4">
      <w:trPr>
        <w:cantSplit/>
        <w:trHeight w:hRule="exact" w:val="1134"/>
      </w:trPr>
      <w:tc>
        <w:tcPr>
          <w:tcW w:w="7767" w:type="dxa"/>
          <w:vAlign w:val="bottom"/>
        </w:tcPr>
        <w:p w14:paraId="143FC6E2" w14:textId="4470D138" w:rsidR="00C24144" w:rsidRDefault="00C2171F" w:rsidP="00C24144">
          <w:pPr>
            <w:spacing w:after="0"/>
            <w:rPr>
              <w:rStyle w:val="PageNumber"/>
            </w:rPr>
          </w:pPr>
          <w:sdt>
            <w:sdtPr>
              <w:rPr>
                <w:rStyle w:val="PageNumber"/>
                <w:b/>
              </w:rPr>
              <w:alias w:val="Company"/>
              <w:tag w:val=""/>
              <w:id w:val="-852797910"/>
              <w:placeholder>
                <w:docPart w:val="999CE74C4B554D3690808C26653889B5"/>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C24144">
                <w:rPr>
                  <w:rStyle w:val="PageNumber"/>
                  <w:b/>
                </w:rPr>
                <w:t>TERRITORY FAMILIES, HOUSING AND COMMUNITIES</w:t>
              </w:r>
            </w:sdtContent>
          </w:sdt>
          <w:r w:rsidR="00C24144" w:rsidRPr="00750D2F">
            <w:rPr>
              <w:rStyle w:val="PageNumber"/>
            </w:rPr>
            <w:t xml:space="preserve"> </w:t>
          </w:r>
        </w:p>
        <w:p w14:paraId="12CCED87" w14:textId="692E6A24" w:rsidR="00C0326E" w:rsidRPr="00C24144" w:rsidRDefault="00C24144" w:rsidP="00C0326E">
          <w:pPr>
            <w:spacing w:after="0"/>
            <w:rPr>
              <w:rStyle w:val="PageNumber"/>
              <w:b/>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64F25">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64F25">
            <w:rPr>
              <w:rStyle w:val="PageNumber"/>
              <w:noProof/>
            </w:rPr>
            <w:t>3</w:t>
          </w:r>
          <w:r w:rsidRPr="00AC4488">
            <w:rPr>
              <w:rStyle w:val="PageNumber"/>
            </w:rPr>
            <w:fldChar w:fldCharType="end"/>
          </w:r>
          <w:r w:rsidR="00C0326E">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5AC0FF0D" w14:textId="77777777"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216E7A8"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76A1C" w14:textId="77777777" w:rsidR="00C2171F" w:rsidRDefault="00C2171F" w:rsidP="007332FF">
      <w:r>
        <w:separator/>
      </w:r>
    </w:p>
  </w:footnote>
  <w:footnote w:type="continuationSeparator" w:id="0">
    <w:p w14:paraId="5ED09019" w14:textId="77777777" w:rsidR="00C2171F" w:rsidRDefault="00C2171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634A" w14:textId="77777777" w:rsidR="00FB498F" w:rsidRDefault="00FB4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0891" w14:textId="15FBEBDB" w:rsidR="00983000" w:rsidRPr="00162207" w:rsidRDefault="00C2171F"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9177B7">
          <w:t>Common words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F11C" w14:textId="6313713D" w:rsidR="00E908F1" w:rsidRPr="000E3ED2" w:rsidRDefault="004F0CF6" w:rsidP="00EB164C">
    <w:pPr>
      <w:pStyle w:val="Subtitle0"/>
    </w:pPr>
    <w:r>
      <w:rPr>
        <w:noProof/>
        <w:lang w:eastAsia="en-AU"/>
      </w:rPr>
      <w:drawing>
        <wp:anchor distT="0" distB="0" distL="114300" distR="114300" simplePos="0" relativeHeight="251659264" behindDoc="1" locked="1" layoutInCell="1" allowOverlap="1" wp14:anchorId="7BEC2CDD" wp14:editId="6FF6361C">
          <wp:simplePos x="0" y="0"/>
          <wp:positionH relativeFrom="margin">
            <wp:posOffset>-132080</wp:posOffset>
          </wp:positionH>
          <wp:positionV relativeFrom="page">
            <wp:posOffset>107950</wp:posOffset>
          </wp:positionV>
          <wp:extent cx="7019925" cy="1781810"/>
          <wp:effectExtent l="0" t="0" r="9525" b="889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A_Banner.png"/>
                  <pic:cNvPicPr/>
                </pic:nvPicPr>
                <pic:blipFill rotWithShape="1">
                  <a:blip r:embed="rId1" cstate="print">
                    <a:extLst>
                      <a:ext uri="{28A0092B-C50C-407E-A947-70E740481C1C}">
                        <a14:useLocalDpi xmlns:a14="http://schemas.microsoft.com/office/drawing/2010/main" val="0"/>
                      </a:ext>
                    </a:extLst>
                  </a:blip>
                  <a:srcRect t="14618" b="4987"/>
                  <a:stretch/>
                </pic:blipFill>
                <pic:spPr bwMode="auto">
                  <a:xfrm>
                    <a:off x="0" y="0"/>
                    <a:ext cx="7019925" cy="1781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1EC0D65"/>
    <w:multiLevelType w:val="hybridMultilevel"/>
    <w:tmpl w:val="064C02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015568B"/>
    <w:multiLevelType w:val="hybridMultilevel"/>
    <w:tmpl w:val="B6069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024747A"/>
    <w:multiLevelType w:val="hybridMultilevel"/>
    <w:tmpl w:val="6B0AF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3E57B97"/>
    <w:multiLevelType w:val="hybridMultilevel"/>
    <w:tmpl w:val="437A2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94C1015"/>
    <w:multiLevelType w:val="hybridMultilevel"/>
    <w:tmpl w:val="3B4E7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1D56E91"/>
    <w:multiLevelType w:val="hybridMultilevel"/>
    <w:tmpl w:val="FF424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AD93631"/>
    <w:multiLevelType w:val="hybridMultilevel"/>
    <w:tmpl w:val="85DCE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9"/>
  </w:num>
  <w:num w:numId="4">
    <w:abstractNumId w:val="26"/>
  </w:num>
  <w:num w:numId="5">
    <w:abstractNumId w:val="16"/>
  </w:num>
  <w:num w:numId="6">
    <w:abstractNumId w:val="7"/>
  </w:num>
  <w:num w:numId="7">
    <w:abstractNumId w:val="28"/>
  </w:num>
  <w:num w:numId="8">
    <w:abstractNumId w:val="15"/>
  </w:num>
  <w:num w:numId="9">
    <w:abstractNumId w:val="23"/>
  </w:num>
  <w:num w:numId="10">
    <w:abstractNumId w:val="24"/>
  </w:num>
  <w:num w:numId="11">
    <w:abstractNumId w:val="40"/>
  </w:num>
  <w:num w:numId="12">
    <w:abstractNumId w:val="32"/>
  </w:num>
  <w:num w:numId="13">
    <w:abstractNumId w:val="19"/>
  </w:num>
  <w:num w:numId="14">
    <w:abstractNumId w:val="11"/>
  </w:num>
  <w:num w:numId="15">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D"/>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0A8B"/>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6FF6"/>
    <w:rsid w:val="00176066"/>
    <w:rsid w:val="00176123"/>
    <w:rsid w:val="00181620"/>
    <w:rsid w:val="00187130"/>
    <w:rsid w:val="001957AD"/>
    <w:rsid w:val="00196F8E"/>
    <w:rsid w:val="001A2B7F"/>
    <w:rsid w:val="001A3AFD"/>
    <w:rsid w:val="001A496C"/>
    <w:rsid w:val="001A576A"/>
    <w:rsid w:val="001B28DA"/>
    <w:rsid w:val="001B2B6C"/>
    <w:rsid w:val="001C1416"/>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B70E7"/>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1990"/>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3E44"/>
    <w:rsid w:val="004864DE"/>
    <w:rsid w:val="00494BE5"/>
    <w:rsid w:val="004A0EBA"/>
    <w:rsid w:val="004A2538"/>
    <w:rsid w:val="004A331E"/>
    <w:rsid w:val="004B0C15"/>
    <w:rsid w:val="004B35EA"/>
    <w:rsid w:val="004B69E4"/>
    <w:rsid w:val="004B70AA"/>
    <w:rsid w:val="004C3ACC"/>
    <w:rsid w:val="004C6C39"/>
    <w:rsid w:val="004D075F"/>
    <w:rsid w:val="004D1B76"/>
    <w:rsid w:val="004D344E"/>
    <w:rsid w:val="004E019E"/>
    <w:rsid w:val="004E06EC"/>
    <w:rsid w:val="004E0A3F"/>
    <w:rsid w:val="004E2CB7"/>
    <w:rsid w:val="004F016A"/>
    <w:rsid w:val="004F0CF6"/>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76665"/>
    <w:rsid w:val="00582D3D"/>
    <w:rsid w:val="00590040"/>
    <w:rsid w:val="00592E78"/>
    <w:rsid w:val="00595386"/>
    <w:rsid w:val="00597234"/>
    <w:rsid w:val="005A4AC0"/>
    <w:rsid w:val="005A5FDF"/>
    <w:rsid w:val="005B0FB7"/>
    <w:rsid w:val="005B122A"/>
    <w:rsid w:val="005B1FCB"/>
    <w:rsid w:val="005B5AC2"/>
    <w:rsid w:val="005B6B9E"/>
    <w:rsid w:val="005C2833"/>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86015"/>
    <w:rsid w:val="0069114B"/>
    <w:rsid w:val="00693D6B"/>
    <w:rsid w:val="006944C1"/>
    <w:rsid w:val="006A2F2D"/>
    <w:rsid w:val="006A756A"/>
    <w:rsid w:val="006D0668"/>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203F"/>
    <w:rsid w:val="00755248"/>
    <w:rsid w:val="0076190B"/>
    <w:rsid w:val="00763448"/>
    <w:rsid w:val="0076355D"/>
    <w:rsid w:val="00763A2D"/>
    <w:rsid w:val="00764F25"/>
    <w:rsid w:val="007670BC"/>
    <w:rsid w:val="007676A4"/>
    <w:rsid w:val="00777795"/>
    <w:rsid w:val="0078287D"/>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1D9A"/>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1E70"/>
    <w:rsid w:val="00854EC1"/>
    <w:rsid w:val="00854F92"/>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E7C92"/>
    <w:rsid w:val="008F422B"/>
    <w:rsid w:val="00901430"/>
    <w:rsid w:val="00902B13"/>
    <w:rsid w:val="00911941"/>
    <w:rsid w:val="009177B7"/>
    <w:rsid w:val="0092024D"/>
    <w:rsid w:val="00920495"/>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E5867"/>
    <w:rsid w:val="009F06BD"/>
    <w:rsid w:val="009F2A4D"/>
    <w:rsid w:val="00A00828"/>
    <w:rsid w:val="00A03290"/>
    <w:rsid w:val="00A0387E"/>
    <w:rsid w:val="00A05BFD"/>
    <w:rsid w:val="00A07490"/>
    <w:rsid w:val="00A10655"/>
    <w:rsid w:val="00A12B64"/>
    <w:rsid w:val="00A1780A"/>
    <w:rsid w:val="00A22C38"/>
    <w:rsid w:val="00A25193"/>
    <w:rsid w:val="00A256EE"/>
    <w:rsid w:val="00A26E80"/>
    <w:rsid w:val="00A31AE8"/>
    <w:rsid w:val="00A3739D"/>
    <w:rsid w:val="00A37DDA"/>
    <w:rsid w:val="00A45005"/>
    <w:rsid w:val="00A55A62"/>
    <w:rsid w:val="00A66857"/>
    <w:rsid w:val="00A73123"/>
    <w:rsid w:val="00A76790"/>
    <w:rsid w:val="00A925EC"/>
    <w:rsid w:val="00A929AA"/>
    <w:rsid w:val="00A92B6B"/>
    <w:rsid w:val="00A96649"/>
    <w:rsid w:val="00AA541E"/>
    <w:rsid w:val="00AB5413"/>
    <w:rsid w:val="00AD0DA4"/>
    <w:rsid w:val="00AD4169"/>
    <w:rsid w:val="00AE25C6"/>
    <w:rsid w:val="00AE306C"/>
    <w:rsid w:val="00AF0E1D"/>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36C9"/>
    <w:rsid w:val="00BA66F0"/>
    <w:rsid w:val="00BB2239"/>
    <w:rsid w:val="00BB2AE7"/>
    <w:rsid w:val="00BB6464"/>
    <w:rsid w:val="00BC1BB8"/>
    <w:rsid w:val="00BD29EF"/>
    <w:rsid w:val="00BD7FE1"/>
    <w:rsid w:val="00BE37CA"/>
    <w:rsid w:val="00BE6144"/>
    <w:rsid w:val="00BE635A"/>
    <w:rsid w:val="00BF17E9"/>
    <w:rsid w:val="00BF2ABB"/>
    <w:rsid w:val="00BF5099"/>
    <w:rsid w:val="00C0326E"/>
    <w:rsid w:val="00C10F10"/>
    <w:rsid w:val="00C15D4D"/>
    <w:rsid w:val="00C175DC"/>
    <w:rsid w:val="00C2171F"/>
    <w:rsid w:val="00C24144"/>
    <w:rsid w:val="00C30171"/>
    <w:rsid w:val="00C309D8"/>
    <w:rsid w:val="00C322B4"/>
    <w:rsid w:val="00C357F6"/>
    <w:rsid w:val="00C414A9"/>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5011"/>
    <w:rsid w:val="00CE640F"/>
    <w:rsid w:val="00CE76BC"/>
    <w:rsid w:val="00CF540E"/>
    <w:rsid w:val="00D00F82"/>
    <w:rsid w:val="00D02F07"/>
    <w:rsid w:val="00D15D88"/>
    <w:rsid w:val="00D27EBE"/>
    <w:rsid w:val="00D36A49"/>
    <w:rsid w:val="00D455DA"/>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2F67"/>
    <w:rsid w:val="00ED5B7B"/>
    <w:rsid w:val="00EE38FA"/>
    <w:rsid w:val="00EE3E2C"/>
    <w:rsid w:val="00EE5D23"/>
    <w:rsid w:val="00EE750D"/>
    <w:rsid w:val="00EF3CA4"/>
    <w:rsid w:val="00EF7362"/>
    <w:rsid w:val="00EF7859"/>
    <w:rsid w:val="00F014DA"/>
    <w:rsid w:val="00F02591"/>
    <w:rsid w:val="00F5696E"/>
    <w:rsid w:val="00F60EFF"/>
    <w:rsid w:val="00F65D83"/>
    <w:rsid w:val="00F67D2D"/>
    <w:rsid w:val="00F858F2"/>
    <w:rsid w:val="00F860CC"/>
    <w:rsid w:val="00F94398"/>
    <w:rsid w:val="00FB1A1B"/>
    <w:rsid w:val="00FB2B56"/>
    <w:rsid w:val="00FB498F"/>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79B1F"/>
  <w15:docId w15:val="{08F09E74-5B2B-4FEA-8D2D-8DC7EE62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E5E2965F1E4BFCBD0167C153D16F10"/>
        <w:category>
          <w:name w:val="General"/>
          <w:gallery w:val="placeholder"/>
        </w:category>
        <w:types>
          <w:type w:val="bbPlcHdr"/>
        </w:types>
        <w:behaviors>
          <w:behavior w:val="content"/>
        </w:behaviors>
        <w:guid w:val="{3B50064A-C36F-49C9-8CE6-8CAA835BA5A9}"/>
      </w:docPartPr>
      <w:docPartBody>
        <w:p w:rsidR="00035A49" w:rsidRDefault="00984FF7">
          <w:pPr>
            <w:pStyle w:val="32E5E2965F1E4BFCBD0167C153D16F10"/>
          </w:pPr>
          <w:r w:rsidRPr="000E6CF8">
            <w:rPr>
              <w:rStyle w:val="PlaceholderText"/>
            </w:rPr>
            <w:t>[Title]</w:t>
          </w:r>
        </w:p>
      </w:docPartBody>
    </w:docPart>
    <w:docPart>
      <w:docPartPr>
        <w:name w:val="999CE74C4B554D3690808C26653889B5"/>
        <w:category>
          <w:name w:val="General"/>
          <w:gallery w:val="placeholder"/>
        </w:category>
        <w:types>
          <w:type w:val="bbPlcHdr"/>
        </w:types>
        <w:behaviors>
          <w:behavior w:val="content"/>
        </w:behaviors>
        <w:guid w:val="{EF6BC89D-59BF-4B72-BB84-7A59D9CFC692}"/>
      </w:docPartPr>
      <w:docPartBody>
        <w:p w:rsidR="00AA41D6" w:rsidRDefault="00553453" w:rsidP="00553453">
          <w:pPr>
            <w:pStyle w:val="999CE74C4B554D3690808C26653889B5"/>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F7"/>
    <w:rsid w:val="00035A49"/>
    <w:rsid w:val="00553453"/>
    <w:rsid w:val="00984FF7"/>
    <w:rsid w:val="00AA41D6"/>
    <w:rsid w:val="00BE70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453"/>
    <w:rPr>
      <w:color w:val="808080"/>
    </w:rPr>
  </w:style>
  <w:style w:type="paragraph" w:customStyle="1" w:styleId="32E5E2965F1E4BFCBD0167C153D16F10">
    <w:name w:val="32E5E2965F1E4BFCBD0167C153D16F10"/>
  </w:style>
  <w:style w:type="paragraph" w:customStyle="1" w:styleId="999CE74C4B554D3690808C26653889B5">
    <w:name w:val="999CE74C4B554D3690808C26653889B5"/>
    <w:rsid w:val="00553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name xmlns="a62f3bd8-32e1-4d41-a1d0-99373f6c055b" xsi:nil="true"/>
    <zggd xmlns="a62f3bd8-32e1-4d41-a1d0-99373f6c055b" xsi:nil="true"/>
    <Document_x0020_Type xmlns="a62f3bd8-32e1-4d41-a1d0-99373f6c055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79635F5245544D92C4447B93135309" ma:contentTypeVersion="6" ma:contentTypeDescription="Create a new document." ma:contentTypeScope="" ma:versionID="84de92b8ce3cfdc4f3d91aebc12490fc">
  <xsd:schema xmlns:xsd="http://www.w3.org/2001/XMLSchema" xmlns:xs="http://www.w3.org/2001/XMLSchema" xmlns:p="http://schemas.microsoft.com/office/2006/metadata/properties" xmlns:ns2="fbe80d51-3b18-44a1-8daa-91c665209920" xmlns:ns3="a62f3bd8-32e1-4d41-a1d0-99373f6c055b" targetNamespace="http://schemas.microsoft.com/office/2006/metadata/properties" ma:root="true" ma:fieldsID="24c382698b49262b1bae3c72337b01de" ns2:_="" ns3:_="">
    <xsd:import namespace="fbe80d51-3b18-44a1-8daa-91c665209920"/>
    <xsd:import namespace="a62f3bd8-32e1-4d41-a1d0-99373f6c055b"/>
    <xsd:element name="properties">
      <xsd:complexType>
        <xsd:sequence>
          <xsd:element name="documentManagement">
            <xsd:complexType>
              <xsd:all>
                <xsd:element ref="ns2:SharedWithUsers" minOccurs="0"/>
                <xsd:element ref="ns3:Document_x0020_Type" minOccurs="0"/>
                <xsd:element ref="ns3:zggd" minOccurs="0"/>
                <xsd:element ref="ns3:Fold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2f3bd8-32e1-4d41-a1d0-99373f6c055b"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Policy"/>
          <xsd:enumeration value="Procedure"/>
          <xsd:enumeration value="Form"/>
          <xsd:enumeration value="Guideline"/>
          <xsd:enumeration value="Resource"/>
        </xsd:restriction>
      </xsd:simpleType>
    </xsd:element>
    <xsd:element name="zggd" ma:index="10" nillable="true" ma:displayName="Number" ma:internalName="zggd">
      <xsd:simpleType>
        <xsd:restriction base="dms:Number"/>
      </xsd:simpleType>
    </xsd:element>
    <xsd:element name="Folder_x0020_name" ma:index="11" nillable="true" ma:displayName="Folder name" ma:internalName="Folder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DAF2A6-C86A-4FFA-9DF1-356F5895ED3F}">
  <ds:schemaRefs>
    <ds:schemaRef ds:uri="http://schemas.microsoft.com/sharepoint/v3/contenttype/forms"/>
  </ds:schemaRefs>
</ds:datastoreItem>
</file>

<file path=customXml/itemProps3.xml><?xml version="1.0" encoding="utf-8"?>
<ds:datastoreItem xmlns:ds="http://schemas.openxmlformats.org/officeDocument/2006/customXml" ds:itemID="{3960A5D4-6077-4D8D-B5CC-0A8C47053906}">
  <ds:schemaRefs>
    <ds:schemaRef ds:uri="http://schemas.microsoft.com/office/2006/metadata/properties"/>
    <ds:schemaRef ds:uri="http://schemas.microsoft.com/office/infopath/2007/PartnerControls"/>
    <ds:schemaRef ds:uri="a62f3bd8-32e1-4d41-a1d0-99373f6c055b"/>
  </ds:schemaRefs>
</ds:datastoreItem>
</file>

<file path=customXml/itemProps4.xml><?xml version="1.0" encoding="utf-8"?>
<ds:datastoreItem xmlns:ds="http://schemas.openxmlformats.org/officeDocument/2006/customXml" ds:itemID="{6283F33B-F11D-49FF-ABA1-12EB3752F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a62f3bd8-32e1-4d41-a1d0-99373f6c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7856B2-1187-4662-8F40-B2DBAADC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6197</Characters>
  <Application>Microsoft Office Word</Application>
  <DocSecurity>0</DocSecurity>
  <Lines>108</Lines>
  <Paragraphs>73</Paragraphs>
  <ScaleCrop>false</ScaleCrop>
  <HeadingPairs>
    <vt:vector size="2" baseType="variant">
      <vt:variant>
        <vt:lpstr>Title</vt:lpstr>
      </vt:variant>
      <vt:variant>
        <vt:i4>1</vt:i4>
      </vt:variant>
    </vt:vector>
  </HeadingPairs>
  <TitlesOfParts>
    <vt:vector size="1" baseType="lpstr">
      <vt:lpstr>Common words</vt:lpstr>
    </vt:vector>
  </TitlesOfParts>
  <Company>TERRITORY FAMILIES, HOUSING AND COMMUNITIES</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words</dc:title>
  <dc:creator>Northern Territory Government</dc:creator>
  <cp:lastModifiedBy>Julie-Anne Felton</cp:lastModifiedBy>
  <cp:revision>2</cp:revision>
  <cp:lastPrinted>2021-08-13T05:53:00Z</cp:lastPrinted>
  <dcterms:created xsi:type="dcterms:W3CDTF">2023-02-14T00:39:00Z</dcterms:created>
  <dcterms:modified xsi:type="dcterms:W3CDTF">2023-02-14T00:39:00Z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0x0101007379635F5245544D92C4447B93135309</vt:lpwstr>
  </property>
</Properties>
</file>