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8D" w:rsidRPr="00704332" w:rsidRDefault="00D2702D" w:rsidP="005C5CCA">
      <w:pPr>
        <w:pStyle w:val="Heading1"/>
        <w:tabs>
          <w:tab w:val="right" w:pos="10206"/>
        </w:tabs>
        <w:ind w:right="-346"/>
        <w:rPr>
          <w:color w:val="000000"/>
          <w:spacing w:val="-10"/>
        </w:rPr>
      </w:pPr>
      <w:bookmarkStart w:id="0" w:name="_GoBack"/>
      <w:bookmarkEnd w:id="0"/>
      <w:r w:rsidRPr="00704332">
        <w:rPr>
          <w:spacing w:val="-10"/>
        </w:rPr>
        <w:t>Preparing for an interview</w:t>
      </w:r>
      <w:r w:rsidR="000301E3">
        <w:rPr>
          <w:spacing w:val="-10"/>
        </w:rPr>
        <w:t xml:space="preserve"> checklist</w:t>
      </w:r>
      <w:r w:rsidR="005C5CCA">
        <w:rPr>
          <w:spacing w:val="-10"/>
        </w:rPr>
        <w:tab/>
      </w:r>
      <w:r w:rsidR="000E2B65" w:rsidRPr="005C5CCA">
        <w:rPr>
          <w:spacing w:val="-10"/>
          <w:sz w:val="28"/>
          <w:szCs w:val="28"/>
        </w:rPr>
        <w:t>(insert organisation / logo)</w:t>
      </w:r>
    </w:p>
    <w:p w:rsidR="007D7A8D" w:rsidRDefault="00D2702D" w:rsidP="00704332">
      <w:pPr>
        <w:rPr>
          <w:rFonts w:eastAsiaTheme="minorEastAsia"/>
        </w:rPr>
      </w:pPr>
      <w:r w:rsidRPr="00D82C1B">
        <w:rPr>
          <w:rFonts w:eastAsiaTheme="minorEastAsia"/>
        </w:rPr>
        <w:t xml:space="preserve">Before selection interviews take place, </w:t>
      </w:r>
      <w:r w:rsidR="00E1194E" w:rsidRPr="00D82C1B">
        <w:rPr>
          <w:rFonts w:eastAsiaTheme="minorEastAsia"/>
        </w:rPr>
        <w:t>ensure that you have considered the following points:</w:t>
      </w:r>
    </w:p>
    <w:p w:rsidR="00704332" w:rsidRPr="00D82C1B" w:rsidRDefault="00704332" w:rsidP="00704332">
      <w:pPr>
        <w:rPr>
          <w:color w:val="000000" w:themeColor="text1"/>
        </w:rPr>
      </w:pPr>
    </w:p>
    <w:tbl>
      <w:tblPr>
        <w:tblW w:w="1011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reparing for an interview checklist"/>
        <w:tblDescription w:val="This table has a checklist of things to do when preparing for an interview."/>
      </w:tblPr>
      <w:tblGrid>
        <w:gridCol w:w="8835"/>
        <w:gridCol w:w="1275"/>
      </w:tblGrid>
      <w:tr w:rsidR="00704332" w:rsidRPr="00704332" w:rsidTr="005A58D4">
        <w:trPr>
          <w:cantSplit/>
          <w:trHeight w:hRule="exact" w:val="697"/>
          <w:tblHeader/>
        </w:trPr>
        <w:tc>
          <w:tcPr>
            <w:tcW w:w="8835" w:type="dxa"/>
            <w:shd w:val="clear" w:color="auto" w:fill="54287D"/>
            <w:vAlign w:val="center"/>
          </w:tcPr>
          <w:p w:rsidR="00704332" w:rsidRPr="00704332" w:rsidRDefault="00704332" w:rsidP="00704332">
            <w:pPr>
              <w:ind w:left="188"/>
              <w:rPr>
                <w:rFonts w:eastAsiaTheme="minorEastAsia"/>
                <w:b/>
                <w:color w:val="FFFFFF" w:themeColor="background1"/>
                <w:szCs w:val="24"/>
              </w:rPr>
            </w:pPr>
            <w:r w:rsidRPr="00704332">
              <w:rPr>
                <w:rFonts w:eastAsiaTheme="minorEastAsia"/>
                <w:b/>
                <w:color w:val="FFFFFF" w:themeColor="background1"/>
              </w:rPr>
              <w:t>Task</w:t>
            </w:r>
          </w:p>
        </w:tc>
        <w:tc>
          <w:tcPr>
            <w:tcW w:w="1275" w:type="dxa"/>
            <w:shd w:val="clear" w:color="auto" w:fill="54287D"/>
            <w:vAlign w:val="center"/>
          </w:tcPr>
          <w:p w:rsidR="00704332" w:rsidRPr="00704332" w:rsidRDefault="00704332" w:rsidP="00704332">
            <w:pPr>
              <w:ind w:left="141"/>
              <w:rPr>
                <w:rFonts w:eastAsiaTheme="minorEastAsia"/>
                <w:b/>
                <w:color w:val="FFFFFF" w:themeColor="background1"/>
              </w:rPr>
            </w:pPr>
            <w:r w:rsidRPr="00704332">
              <w:rPr>
                <w:rFonts w:eastAsiaTheme="minorEastAsia"/>
                <w:b/>
                <w:color w:val="FFFFFF" w:themeColor="background1"/>
              </w:rPr>
              <w:t>Tick when complete</w:t>
            </w:r>
          </w:p>
        </w:tc>
      </w:tr>
      <w:tr w:rsidR="00704332" w:rsidRPr="00D2702D" w:rsidTr="00704332">
        <w:trPr>
          <w:cantSplit/>
          <w:trHeight w:hRule="exact" w:val="648"/>
        </w:trPr>
        <w:tc>
          <w:tcPr>
            <w:tcW w:w="8835" w:type="dxa"/>
            <w:shd w:val="clear" w:color="auto" w:fill="auto"/>
            <w:vAlign w:val="center"/>
          </w:tcPr>
          <w:p w:rsidR="00704332" w:rsidRPr="00D2702D" w:rsidRDefault="00704332" w:rsidP="00DC6DB0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left="14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02D">
              <w:rPr>
                <w:rFonts w:eastAsiaTheme="minorEastAsia" w:cs="Arial"/>
                <w:color w:val="231F20"/>
              </w:rPr>
              <w:t>Be</w:t>
            </w:r>
            <w:r w:rsidRPr="00D2702D">
              <w:rPr>
                <w:rFonts w:eastAsiaTheme="minorEastAsia" w:cs="Arial"/>
                <w:color w:val="231F20"/>
                <w:spacing w:val="-10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familiar</w:t>
            </w:r>
            <w:r w:rsidRPr="00D2702D">
              <w:rPr>
                <w:rFonts w:eastAsiaTheme="minorEastAsia" w:cs="Arial"/>
                <w:color w:val="231F20"/>
                <w:spacing w:val="-23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with</w:t>
            </w:r>
            <w:r w:rsidRPr="00D2702D">
              <w:rPr>
                <w:rFonts w:eastAsiaTheme="minorEastAsia" w:cs="Arial"/>
                <w:color w:val="231F20"/>
                <w:spacing w:val="-14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the</w:t>
            </w:r>
            <w:r w:rsidRPr="00D2702D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>
              <w:rPr>
                <w:rFonts w:eastAsiaTheme="minorEastAsia" w:cs="Arial"/>
                <w:color w:val="231F20"/>
              </w:rPr>
              <w:t>job</w:t>
            </w:r>
            <w:r w:rsidRPr="00D2702D">
              <w:rPr>
                <w:rFonts w:eastAsiaTheme="minorEastAsia" w:cs="Arial"/>
                <w:color w:val="231F20"/>
              </w:rPr>
              <w:t xml:space="preserve"> description of</w:t>
            </w:r>
            <w:r w:rsidRPr="00D2702D">
              <w:rPr>
                <w:rFonts w:eastAsiaTheme="minorEastAsia" w:cs="Arial"/>
                <w:color w:val="231F20"/>
                <w:spacing w:val="-9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the</w:t>
            </w:r>
            <w:r w:rsidRPr="00D2702D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>
              <w:rPr>
                <w:rFonts w:eastAsiaTheme="minorEastAsia" w:cs="Arial"/>
                <w:color w:val="231F20"/>
              </w:rPr>
              <w:t>vacancy</w:t>
            </w:r>
          </w:p>
        </w:tc>
        <w:tc>
          <w:tcPr>
            <w:tcW w:w="1275" w:type="dxa"/>
            <w:shd w:val="clear" w:color="auto" w:fill="CAC1DB"/>
            <w:vAlign w:val="center"/>
          </w:tcPr>
          <w:p w:rsidR="00704332" w:rsidRPr="00D2702D" w:rsidRDefault="00704332" w:rsidP="00F2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704332" w:rsidRPr="00D2702D" w:rsidTr="00704332">
        <w:trPr>
          <w:cantSplit/>
          <w:trHeight w:hRule="exact" w:val="648"/>
        </w:trPr>
        <w:tc>
          <w:tcPr>
            <w:tcW w:w="8835" w:type="dxa"/>
            <w:shd w:val="clear" w:color="auto" w:fill="auto"/>
            <w:vAlign w:val="center"/>
          </w:tcPr>
          <w:p w:rsidR="00704332" w:rsidRPr="00D2702D" w:rsidRDefault="00704332" w:rsidP="00DC6DB0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Arial"/>
                <w:color w:val="231F20"/>
              </w:rPr>
              <w:t>Review and u</w:t>
            </w:r>
            <w:r w:rsidRPr="00D2702D">
              <w:rPr>
                <w:rFonts w:eastAsiaTheme="minorEastAsia" w:cs="Arial"/>
                <w:color w:val="231F20"/>
              </w:rPr>
              <w:t>nderstand the</w:t>
            </w:r>
            <w:r w:rsidRPr="00D2702D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selection criteria</w:t>
            </w:r>
            <w:r>
              <w:rPr>
                <w:rFonts w:eastAsiaTheme="minorEastAsia" w:cs="Arial"/>
                <w:color w:val="231F20"/>
              </w:rPr>
              <w:t>, especially any essential requirements</w:t>
            </w:r>
          </w:p>
        </w:tc>
        <w:tc>
          <w:tcPr>
            <w:tcW w:w="1275" w:type="dxa"/>
            <w:shd w:val="clear" w:color="auto" w:fill="CAC1DB"/>
            <w:vAlign w:val="center"/>
          </w:tcPr>
          <w:p w:rsidR="00704332" w:rsidRPr="00D2702D" w:rsidRDefault="00704332" w:rsidP="00F2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704332" w:rsidRPr="00D2702D" w:rsidTr="00704332">
        <w:trPr>
          <w:cantSplit/>
          <w:trHeight w:hRule="exact" w:val="648"/>
        </w:trPr>
        <w:tc>
          <w:tcPr>
            <w:tcW w:w="8835" w:type="dxa"/>
            <w:shd w:val="clear" w:color="auto" w:fill="auto"/>
            <w:vAlign w:val="center"/>
          </w:tcPr>
          <w:p w:rsidR="00704332" w:rsidRPr="00D2702D" w:rsidRDefault="00704332" w:rsidP="00DC6DB0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02D">
              <w:rPr>
                <w:rFonts w:eastAsiaTheme="minorEastAsia" w:cs="Arial"/>
                <w:color w:val="231F20"/>
              </w:rPr>
              <w:t>Review</w:t>
            </w:r>
            <w:r w:rsidRPr="00D2702D">
              <w:rPr>
                <w:rFonts w:eastAsiaTheme="minorEastAsia" w:cs="Arial"/>
                <w:color w:val="231F20"/>
                <w:spacing w:val="-24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applications</w:t>
            </w:r>
            <w:r>
              <w:rPr>
                <w:rFonts w:eastAsiaTheme="minorEastAsia" w:cs="Arial"/>
                <w:color w:val="231F20"/>
              </w:rPr>
              <w:t>. Avoid making notes on applications. Use the Interview Record template to do this</w:t>
            </w:r>
          </w:p>
        </w:tc>
        <w:tc>
          <w:tcPr>
            <w:tcW w:w="1275" w:type="dxa"/>
            <w:shd w:val="clear" w:color="auto" w:fill="CAC1DB"/>
            <w:vAlign w:val="center"/>
          </w:tcPr>
          <w:p w:rsidR="00704332" w:rsidRPr="00D2702D" w:rsidRDefault="00704332" w:rsidP="00F2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704332" w:rsidRPr="00D2702D" w:rsidTr="00704332">
        <w:trPr>
          <w:cantSplit/>
          <w:trHeight w:hRule="exact" w:val="648"/>
        </w:trPr>
        <w:tc>
          <w:tcPr>
            <w:tcW w:w="8835" w:type="dxa"/>
            <w:shd w:val="clear" w:color="auto" w:fill="auto"/>
            <w:vAlign w:val="center"/>
          </w:tcPr>
          <w:p w:rsidR="00704332" w:rsidRPr="00D2702D" w:rsidRDefault="00704332" w:rsidP="00DC6DB0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02D">
              <w:rPr>
                <w:rFonts w:eastAsiaTheme="minorEastAsia" w:cs="Arial"/>
                <w:color w:val="231F20"/>
              </w:rPr>
              <w:t>Be</w:t>
            </w:r>
            <w:r w:rsidRPr="00D2702D">
              <w:rPr>
                <w:rFonts w:eastAsiaTheme="minorEastAsia" w:cs="Arial"/>
                <w:color w:val="231F20"/>
                <w:spacing w:val="-10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familiar</w:t>
            </w:r>
            <w:r w:rsidRPr="00D2702D">
              <w:rPr>
                <w:rFonts w:eastAsiaTheme="minorEastAsia" w:cs="Arial"/>
                <w:color w:val="231F20"/>
                <w:spacing w:val="-23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with</w:t>
            </w:r>
            <w:r>
              <w:rPr>
                <w:rFonts w:eastAsiaTheme="minorEastAsia" w:cs="Arial"/>
                <w:color w:val="231F20"/>
                <w:spacing w:val="-14"/>
              </w:rPr>
              <w:t xml:space="preserve"> any</w:t>
            </w:r>
            <w:r w:rsidRPr="00D2702D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rating</w:t>
            </w:r>
            <w:r w:rsidRPr="00D2702D">
              <w:rPr>
                <w:rFonts w:eastAsiaTheme="minorEastAsia" w:cs="Arial"/>
                <w:color w:val="231F20"/>
                <w:spacing w:val="-18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scale</w:t>
            </w:r>
            <w:r w:rsidRPr="00D2702D">
              <w:rPr>
                <w:rFonts w:eastAsiaTheme="minorEastAsia" w:cs="Arial"/>
                <w:color w:val="231F20"/>
                <w:spacing w:val="-17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applicable to</w:t>
            </w:r>
            <w:r w:rsidRPr="00D2702D">
              <w:rPr>
                <w:rFonts w:eastAsiaTheme="minorEastAsia" w:cs="Arial"/>
                <w:color w:val="231F20"/>
                <w:spacing w:val="-9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interviews</w:t>
            </w:r>
          </w:p>
        </w:tc>
        <w:tc>
          <w:tcPr>
            <w:tcW w:w="1275" w:type="dxa"/>
            <w:shd w:val="clear" w:color="auto" w:fill="CAC1DB"/>
            <w:vAlign w:val="center"/>
          </w:tcPr>
          <w:p w:rsidR="00704332" w:rsidRPr="00D2702D" w:rsidRDefault="00704332" w:rsidP="00F2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704332" w:rsidRPr="00D2702D" w:rsidTr="00704332">
        <w:trPr>
          <w:cantSplit/>
          <w:trHeight w:hRule="exact" w:val="648"/>
        </w:trPr>
        <w:tc>
          <w:tcPr>
            <w:tcW w:w="8835" w:type="dxa"/>
            <w:shd w:val="clear" w:color="auto" w:fill="auto"/>
            <w:vAlign w:val="center"/>
          </w:tcPr>
          <w:p w:rsidR="00704332" w:rsidRPr="00D2702D" w:rsidRDefault="00704332" w:rsidP="00DC6DB0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02D">
              <w:rPr>
                <w:rFonts w:eastAsiaTheme="minorEastAsia" w:cs="Arial"/>
                <w:color w:val="231F20"/>
              </w:rPr>
              <w:t>Have</w:t>
            </w:r>
            <w:r w:rsidRPr="00D2702D">
              <w:rPr>
                <w:rFonts w:eastAsiaTheme="minorEastAsia" w:cs="Arial"/>
                <w:color w:val="231F20"/>
                <w:spacing w:val="-17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sufficient copies</w:t>
            </w:r>
            <w:r w:rsidRPr="00D2702D">
              <w:rPr>
                <w:rFonts w:eastAsiaTheme="minorEastAsia" w:cs="Arial"/>
                <w:color w:val="231F20"/>
                <w:spacing w:val="-21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of</w:t>
            </w:r>
            <w:r w:rsidRPr="00D2702D">
              <w:rPr>
                <w:rFonts w:eastAsiaTheme="minorEastAsia" w:cs="Arial"/>
                <w:color w:val="231F20"/>
                <w:spacing w:val="-7"/>
              </w:rPr>
              <w:t xml:space="preserve"> </w:t>
            </w:r>
            <w:r>
              <w:rPr>
                <w:rFonts w:eastAsiaTheme="minorEastAsia" w:cs="Arial"/>
                <w:color w:val="231F20"/>
                <w:spacing w:val="-7"/>
              </w:rPr>
              <w:t>I</w:t>
            </w:r>
            <w:r w:rsidRPr="00D2702D">
              <w:rPr>
                <w:rFonts w:eastAsiaTheme="minorEastAsia" w:cs="Arial"/>
                <w:color w:val="231F20"/>
              </w:rPr>
              <w:t xml:space="preserve">nterview </w:t>
            </w:r>
            <w:r>
              <w:rPr>
                <w:rFonts w:eastAsiaTheme="minorEastAsia" w:cs="Arial"/>
                <w:color w:val="231F20"/>
              </w:rPr>
              <w:t>R</w:t>
            </w:r>
            <w:r w:rsidRPr="00D2702D">
              <w:rPr>
                <w:rFonts w:eastAsiaTheme="minorEastAsia" w:cs="Arial"/>
                <w:color w:val="231F20"/>
              </w:rPr>
              <w:t>ecord</w:t>
            </w:r>
            <w:r w:rsidRPr="00D2702D">
              <w:rPr>
                <w:rFonts w:eastAsiaTheme="minorEastAsia" w:cs="Arial"/>
                <w:color w:val="231F20"/>
                <w:spacing w:val="-21"/>
              </w:rPr>
              <w:t xml:space="preserve"> </w:t>
            </w:r>
            <w:r>
              <w:rPr>
                <w:rFonts w:eastAsiaTheme="minorEastAsia" w:cs="Arial"/>
                <w:color w:val="231F20"/>
              </w:rPr>
              <w:t>template</w:t>
            </w:r>
          </w:p>
        </w:tc>
        <w:tc>
          <w:tcPr>
            <w:tcW w:w="1275" w:type="dxa"/>
            <w:shd w:val="clear" w:color="auto" w:fill="CAC1DB"/>
            <w:vAlign w:val="center"/>
          </w:tcPr>
          <w:p w:rsidR="00704332" w:rsidRPr="00D2702D" w:rsidRDefault="00704332" w:rsidP="00F2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704332" w:rsidRPr="00D2702D" w:rsidTr="00704332">
        <w:trPr>
          <w:cantSplit/>
          <w:trHeight w:hRule="exact" w:val="648"/>
        </w:trPr>
        <w:tc>
          <w:tcPr>
            <w:tcW w:w="8835" w:type="dxa"/>
            <w:shd w:val="clear" w:color="auto" w:fill="auto"/>
            <w:vAlign w:val="center"/>
          </w:tcPr>
          <w:p w:rsidR="00704332" w:rsidRPr="00D2702D" w:rsidRDefault="00704332" w:rsidP="00DC6DB0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02D">
              <w:rPr>
                <w:rFonts w:eastAsiaTheme="minorEastAsia" w:cs="Arial"/>
                <w:color w:val="231F20"/>
              </w:rPr>
              <w:t>Have</w:t>
            </w:r>
            <w:r w:rsidRPr="00D2702D">
              <w:rPr>
                <w:rFonts w:eastAsiaTheme="minorEastAsia" w:cs="Arial"/>
                <w:color w:val="231F20"/>
                <w:spacing w:val="-17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a</w:t>
            </w:r>
            <w:r w:rsidRPr="00D2702D">
              <w:rPr>
                <w:rFonts w:eastAsiaTheme="minorEastAsia" w:cs="Arial"/>
                <w:color w:val="231F20"/>
                <w:spacing w:val="-6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copy</w:t>
            </w:r>
            <w:r w:rsidRPr="00D2702D">
              <w:rPr>
                <w:rFonts w:eastAsiaTheme="minorEastAsia" w:cs="Arial"/>
                <w:color w:val="231F20"/>
                <w:spacing w:val="-16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of</w:t>
            </w:r>
            <w:r w:rsidRPr="00D2702D">
              <w:rPr>
                <w:rFonts w:eastAsiaTheme="minorEastAsia" w:cs="Arial"/>
                <w:color w:val="231F20"/>
                <w:spacing w:val="-9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 xml:space="preserve">standard </w:t>
            </w:r>
            <w:r>
              <w:rPr>
                <w:rFonts w:eastAsiaTheme="minorEastAsia" w:cs="Arial"/>
                <w:color w:val="231F20"/>
              </w:rPr>
              <w:t xml:space="preserve">interview </w:t>
            </w:r>
            <w:r w:rsidRPr="00D2702D">
              <w:rPr>
                <w:rFonts w:eastAsiaTheme="minorEastAsia" w:cs="Arial"/>
                <w:color w:val="231F20"/>
              </w:rPr>
              <w:t>questions</w:t>
            </w:r>
          </w:p>
        </w:tc>
        <w:tc>
          <w:tcPr>
            <w:tcW w:w="1275" w:type="dxa"/>
            <w:shd w:val="clear" w:color="auto" w:fill="CAC1DB"/>
            <w:vAlign w:val="center"/>
          </w:tcPr>
          <w:p w:rsidR="00704332" w:rsidRPr="00D2702D" w:rsidRDefault="00704332" w:rsidP="00F2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704332" w:rsidRPr="00D2702D" w:rsidTr="00704332">
        <w:trPr>
          <w:cantSplit/>
          <w:trHeight w:hRule="exact" w:val="667"/>
        </w:trPr>
        <w:tc>
          <w:tcPr>
            <w:tcW w:w="8835" w:type="dxa"/>
            <w:shd w:val="clear" w:color="auto" w:fill="auto"/>
            <w:vAlign w:val="center"/>
          </w:tcPr>
          <w:p w:rsidR="00704332" w:rsidRPr="00D2702D" w:rsidRDefault="00704332" w:rsidP="00DC6DB0">
            <w:pPr>
              <w:widowControl w:val="0"/>
              <w:autoSpaceDE w:val="0"/>
              <w:autoSpaceDN w:val="0"/>
              <w:adjustRightInd w:val="0"/>
              <w:spacing w:before="64"/>
              <w:ind w:left="14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02D">
              <w:rPr>
                <w:rFonts w:eastAsiaTheme="minorEastAsia" w:cs="Arial"/>
                <w:color w:val="231F20"/>
              </w:rPr>
              <w:t>Be</w:t>
            </w:r>
            <w:r w:rsidRPr="00D2702D">
              <w:rPr>
                <w:rFonts w:eastAsiaTheme="minorEastAsia" w:cs="Arial"/>
                <w:color w:val="231F20"/>
                <w:spacing w:val="-10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aware</w:t>
            </w:r>
            <w:r w:rsidRPr="00D2702D">
              <w:rPr>
                <w:rFonts w:eastAsiaTheme="minorEastAsia" w:cs="Arial"/>
                <w:color w:val="231F20"/>
                <w:spacing w:val="-20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of</w:t>
            </w:r>
            <w:r w:rsidRPr="00D2702D">
              <w:rPr>
                <w:rFonts w:eastAsiaTheme="minorEastAsia" w:cs="Arial"/>
                <w:color w:val="231F20"/>
                <w:spacing w:val="-9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the</w:t>
            </w:r>
            <w:r w:rsidRPr="00D2702D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way</w:t>
            </w:r>
            <w:r w:rsidRPr="00D2702D">
              <w:rPr>
                <w:rFonts w:eastAsiaTheme="minorEastAsia" w:cs="Arial"/>
                <w:color w:val="231F20"/>
                <w:spacing w:val="-14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in</w:t>
            </w:r>
            <w:r w:rsidRPr="00D2702D">
              <w:rPr>
                <w:rFonts w:eastAsiaTheme="minorEastAsia" w:cs="Arial"/>
                <w:color w:val="231F20"/>
                <w:spacing w:val="-7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which</w:t>
            </w:r>
            <w:r w:rsidRPr="00D2702D">
              <w:rPr>
                <w:rFonts w:eastAsiaTheme="minorEastAsia" w:cs="Arial"/>
                <w:color w:val="231F20"/>
                <w:spacing w:val="-19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the</w:t>
            </w:r>
            <w:r w:rsidRPr="00D2702D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interview is</w:t>
            </w:r>
            <w:r w:rsidRPr="00D2702D">
              <w:rPr>
                <w:rFonts w:eastAsiaTheme="minorEastAsia" w:cs="Arial"/>
                <w:color w:val="231F20"/>
                <w:spacing w:val="-7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to</w:t>
            </w:r>
            <w:r w:rsidRPr="00D2702D">
              <w:rPr>
                <w:rFonts w:eastAsiaTheme="minorEastAsia" w:cs="Arial"/>
                <w:color w:val="231F20"/>
                <w:spacing w:val="-9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be</w:t>
            </w:r>
            <w:r w:rsidRPr="00D2702D">
              <w:rPr>
                <w:rFonts w:eastAsiaTheme="minorEastAsia" w:cs="Arial"/>
                <w:color w:val="231F20"/>
                <w:spacing w:val="-9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conducted</w:t>
            </w:r>
            <w:r>
              <w:rPr>
                <w:rFonts w:eastAsiaTheme="minorEastAsia" w:cs="Arial"/>
                <w:color w:val="231F20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(order</w:t>
            </w:r>
            <w:r w:rsidRPr="00D2702D">
              <w:rPr>
                <w:rFonts w:eastAsiaTheme="minorEastAsia" w:cs="Arial"/>
                <w:color w:val="231F20"/>
                <w:spacing w:val="-20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of</w:t>
            </w:r>
            <w:r w:rsidRPr="00D2702D">
              <w:rPr>
                <w:rFonts w:eastAsiaTheme="minorEastAsia" w:cs="Arial"/>
                <w:color w:val="231F20"/>
                <w:spacing w:val="-9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questions, who</w:t>
            </w:r>
            <w:r w:rsidRPr="00D2702D">
              <w:rPr>
                <w:rFonts w:eastAsiaTheme="minorEastAsia" w:cs="Arial"/>
                <w:color w:val="231F20"/>
                <w:spacing w:val="-14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will</w:t>
            </w:r>
            <w:r w:rsidRPr="00D2702D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ask</w:t>
            </w:r>
            <w:r w:rsidRPr="00D2702D">
              <w:rPr>
                <w:rFonts w:eastAsiaTheme="minorEastAsia" w:cs="Arial"/>
                <w:color w:val="231F20"/>
                <w:spacing w:val="-12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questions)</w:t>
            </w:r>
          </w:p>
        </w:tc>
        <w:tc>
          <w:tcPr>
            <w:tcW w:w="1275" w:type="dxa"/>
            <w:shd w:val="clear" w:color="auto" w:fill="CAC1DB"/>
            <w:vAlign w:val="center"/>
          </w:tcPr>
          <w:p w:rsidR="00704332" w:rsidRPr="00D2702D" w:rsidRDefault="00704332" w:rsidP="00F2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704332" w:rsidRPr="00D2702D" w:rsidTr="00704332">
        <w:trPr>
          <w:cantSplit/>
          <w:trHeight w:hRule="exact" w:val="648"/>
        </w:trPr>
        <w:tc>
          <w:tcPr>
            <w:tcW w:w="8835" w:type="dxa"/>
            <w:shd w:val="clear" w:color="auto" w:fill="auto"/>
            <w:vAlign w:val="center"/>
          </w:tcPr>
          <w:p w:rsidR="00704332" w:rsidRPr="00D2702D" w:rsidRDefault="00704332" w:rsidP="00DC6DB0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02D">
              <w:rPr>
                <w:rFonts w:eastAsiaTheme="minorEastAsia" w:cs="Arial"/>
                <w:color w:val="231F20"/>
              </w:rPr>
              <w:t>Have</w:t>
            </w:r>
            <w:r w:rsidRPr="00D2702D">
              <w:rPr>
                <w:rFonts w:eastAsiaTheme="minorEastAsia" w:cs="Arial"/>
                <w:color w:val="231F20"/>
                <w:spacing w:val="-17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a</w:t>
            </w:r>
            <w:r w:rsidRPr="00D2702D">
              <w:rPr>
                <w:rFonts w:eastAsiaTheme="minorEastAsia" w:cs="Arial"/>
                <w:color w:val="231F20"/>
                <w:spacing w:val="-6"/>
              </w:rPr>
              <w:t xml:space="preserve"> </w:t>
            </w:r>
            <w:r w:rsidRPr="00D2702D">
              <w:rPr>
                <w:rFonts w:eastAsiaTheme="minorEastAsia" w:cs="Arial"/>
                <w:color w:val="231F20"/>
              </w:rPr>
              <w:t>pen!</w:t>
            </w:r>
          </w:p>
        </w:tc>
        <w:tc>
          <w:tcPr>
            <w:tcW w:w="1275" w:type="dxa"/>
            <w:shd w:val="clear" w:color="auto" w:fill="CAC1DB"/>
            <w:vAlign w:val="center"/>
          </w:tcPr>
          <w:p w:rsidR="00704332" w:rsidRPr="00D2702D" w:rsidRDefault="00704332" w:rsidP="00F2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</w:r>
            <w:r w:rsidR="003B354F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</w:tbl>
    <w:p w:rsidR="007D7A8D" w:rsidRPr="00533EA1" w:rsidRDefault="007D7A8D" w:rsidP="00704332"/>
    <w:p w:rsidR="007D7A8D" w:rsidRPr="00704332" w:rsidRDefault="00704332" w:rsidP="00704332">
      <w:pPr>
        <w:pStyle w:val="Heading2"/>
      </w:pPr>
      <w:r w:rsidRPr="00704332">
        <w:t>General interview guidelines</w:t>
      </w:r>
    </w:p>
    <w:p w:rsidR="007D7A8D" w:rsidRDefault="00D2702D" w:rsidP="00704332">
      <w:pPr>
        <w:pStyle w:val="ListParagraph"/>
        <w:numPr>
          <w:ilvl w:val="0"/>
          <w:numId w:val="3"/>
        </w:numPr>
      </w:pPr>
      <w:r w:rsidRPr="000A459B">
        <w:t>All</w:t>
      </w:r>
      <w:r w:rsidRPr="00704332">
        <w:rPr>
          <w:spacing w:val="-9"/>
        </w:rPr>
        <w:t xml:space="preserve"> </w:t>
      </w:r>
      <w:r w:rsidRPr="000A459B">
        <w:t>panel</w:t>
      </w:r>
      <w:r w:rsidRPr="00704332">
        <w:rPr>
          <w:spacing w:val="-18"/>
        </w:rPr>
        <w:t xml:space="preserve"> </w:t>
      </w:r>
      <w:r w:rsidRPr="000A459B">
        <w:t>members should</w:t>
      </w:r>
      <w:r w:rsidRPr="00704332">
        <w:rPr>
          <w:spacing w:val="-21"/>
        </w:rPr>
        <w:t xml:space="preserve"> </w:t>
      </w:r>
      <w:r w:rsidRPr="000A459B">
        <w:t>be</w:t>
      </w:r>
      <w:r w:rsidRPr="00704332">
        <w:rPr>
          <w:spacing w:val="-9"/>
        </w:rPr>
        <w:t xml:space="preserve"> </w:t>
      </w:r>
      <w:r w:rsidRPr="000A459B">
        <w:t>familiar</w:t>
      </w:r>
      <w:r w:rsidRPr="00704332">
        <w:rPr>
          <w:spacing w:val="-23"/>
        </w:rPr>
        <w:t xml:space="preserve"> </w:t>
      </w:r>
      <w:r w:rsidRPr="000A459B">
        <w:t>with</w:t>
      </w:r>
      <w:r w:rsidRPr="00704332">
        <w:rPr>
          <w:spacing w:val="-14"/>
        </w:rPr>
        <w:t xml:space="preserve"> </w:t>
      </w:r>
      <w:r w:rsidRPr="000A459B">
        <w:t>applicable Equal</w:t>
      </w:r>
      <w:r w:rsidRPr="00704332">
        <w:rPr>
          <w:spacing w:val="-19"/>
        </w:rPr>
        <w:t xml:space="preserve"> </w:t>
      </w:r>
      <w:r w:rsidRPr="000A459B">
        <w:t>Employment Opportunity (EEO)</w:t>
      </w:r>
      <w:r w:rsidR="00297652" w:rsidRPr="000A459B">
        <w:t xml:space="preserve"> </w:t>
      </w:r>
      <w:r w:rsidRPr="000A459B">
        <w:t>legislation and</w:t>
      </w:r>
      <w:r w:rsidRPr="00704332">
        <w:rPr>
          <w:spacing w:val="-13"/>
        </w:rPr>
        <w:t xml:space="preserve"> </w:t>
      </w:r>
      <w:r w:rsidRPr="000A459B">
        <w:t>ensure</w:t>
      </w:r>
      <w:r w:rsidRPr="00704332">
        <w:rPr>
          <w:spacing w:val="-22"/>
        </w:rPr>
        <w:t xml:space="preserve"> </w:t>
      </w:r>
      <w:r w:rsidRPr="000A459B">
        <w:t>that</w:t>
      </w:r>
      <w:r w:rsidRPr="00704332">
        <w:rPr>
          <w:spacing w:val="-17"/>
        </w:rPr>
        <w:t xml:space="preserve"> </w:t>
      </w:r>
      <w:r w:rsidRPr="000A459B">
        <w:t>all</w:t>
      </w:r>
      <w:r w:rsidR="00856708" w:rsidRPr="00704332">
        <w:rPr>
          <w:spacing w:val="-9"/>
        </w:rPr>
        <w:t xml:space="preserve"> applicants </w:t>
      </w:r>
      <w:r w:rsidRPr="000A459B">
        <w:t>are</w:t>
      </w:r>
      <w:r w:rsidRPr="00704332">
        <w:rPr>
          <w:spacing w:val="-12"/>
        </w:rPr>
        <w:t xml:space="preserve"> </w:t>
      </w:r>
      <w:r w:rsidRPr="000A459B">
        <w:t>assessed on</w:t>
      </w:r>
      <w:r w:rsidRPr="00704332">
        <w:rPr>
          <w:spacing w:val="-9"/>
        </w:rPr>
        <w:t xml:space="preserve"> </w:t>
      </w:r>
      <w:r w:rsidRPr="000A459B">
        <w:t>the</w:t>
      </w:r>
      <w:r w:rsidRPr="00704332">
        <w:rPr>
          <w:spacing w:val="-11"/>
        </w:rPr>
        <w:t xml:space="preserve"> </w:t>
      </w:r>
      <w:r w:rsidRPr="000A459B">
        <w:t>basis</w:t>
      </w:r>
      <w:r w:rsidRPr="00704332">
        <w:rPr>
          <w:spacing w:val="-17"/>
        </w:rPr>
        <w:t xml:space="preserve"> </w:t>
      </w:r>
      <w:r w:rsidRPr="000A459B">
        <w:t>of</w:t>
      </w:r>
      <w:r w:rsidRPr="00704332">
        <w:rPr>
          <w:spacing w:val="-9"/>
        </w:rPr>
        <w:t xml:space="preserve"> </w:t>
      </w:r>
      <w:r w:rsidRPr="000A459B">
        <w:t>merit.</w:t>
      </w:r>
    </w:p>
    <w:p w:rsidR="00D9421C" w:rsidRDefault="00D9421C" w:rsidP="00704332"/>
    <w:p w:rsidR="00D2702D" w:rsidRDefault="00D2702D" w:rsidP="00704332">
      <w:pPr>
        <w:pStyle w:val="ListParagraph"/>
        <w:numPr>
          <w:ilvl w:val="0"/>
          <w:numId w:val="3"/>
        </w:numPr>
      </w:pPr>
      <w:r w:rsidRPr="000A459B">
        <w:t>Supplementary questions should</w:t>
      </w:r>
      <w:r w:rsidRPr="00704332">
        <w:rPr>
          <w:spacing w:val="-21"/>
        </w:rPr>
        <w:t xml:space="preserve"> </w:t>
      </w:r>
      <w:r w:rsidRPr="000A459B">
        <w:t>comply</w:t>
      </w:r>
      <w:r w:rsidRPr="00704332">
        <w:rPr>
          <w:spacing w:val="-23"/>
        </w:rPr>
        <w:t xml:space="preserve"> </w:t>
      </w:r>
      <w:r w:rsidRPr="000A459B">
        <w:t>with</w:t>
      </w:r>
      <w:r w:rsidRPr="00704332">
        <w:rPr>
          <w:spacing w:val="-14"/>
        </w:rPr>
        <w:t xml:space="preserve"> </w:t>
      </w:r>
      <w:r w:rsidRPr="000A459B">
        <w:t>EEO</w:t>
      </w:r>
      <w:r w:rsidRPr="00704332">
        <w:rPr>
          <w:spacing w:val="-21"/>
        </w:rPr>
        <w:t xml:space="preserve"> </w:t>
      </w:r>
      <w:r w:rsidRPr="000A459B">
        <w:t>principles and</w:t>
      </w:r>
      <w:r w:rsidRPr="00704332">
        <w:rPr>
          <w:spacing w:val="-13"/>
        </w:rPr>
        <w:t xml:space="preserve"> </w:t>
      </w:r>
      <w:r w:rsidRPr="000A459B">
        <w:t>be</w:t>
      </w:r>
      <w:r w:rsidRPr="00704332">
        <w:rPr>
          <w:spacing w:val="-9"/>
        </w:rPr>
        <w:t xml:space="preserve"> </w:t>
      </w:r>
      <w:r w:rsidRPr="000A459B">
        <w:t>applicable to</w:t>
      </w:r>
      <w:r w:rsidRPr="00704332">
        <w:rPr>
          <w:spacing w:val="-9"/>
        </w:rPr>
        <w:t xml:space="preserve"> </w:t>
      </w:r>
      <w:r w:rsidRPr="000A459B">
        <w:t>the</w:t>
      </w:r>
      <w:r w:rsidRPr="00704332">
        <w:rPr>
          <w:spacing w:val="-11"/>
        </w:rPr>
        <w:t xml:space="preserve"> </w:t>
      </w:r>
      <w:r w:rsidRPr="000A459B">
        <w:t>selection process (e.g.</w:t>
      </w:r>
      <w:r w:rsidRPr="00704332">
        <w:rPr>
          <w:spacing w:val="-20"/>
        </w:rPr>
        <w:t xml:space="preserve"> </w:t>
      </w:r>
      <w:r w:rsidRPr="000A459B">
        <w:t>personal questions like</w:t>
      </w:r>
      <w:r w:rsidRPr="00704332">
        <w:rPr>
          <w:spacing w:val="-12"/>
        </w:rPr>
        <w:t xml:space="preserve"> </w:t>
      </w:r>
      <w:r w:rsidR="000321A2" w:rsidRPr="00704332">
        <w:rPr>
          <w:spacing w:val="-12"/>
        </w:rPr>
        <w:t>“</w:t>
      </w:r>
      <w:r w:rsidRPr="000A459B">
        <w:t>are</w:t>
      </w:r>
      <w:r w:rsidRPr="00704332">
        <w:rPr>
          <w:spacing w:val="-13"/>
        </w:rPr>
        <w:t xml:space="preserve"> </w:t>
      </w:r>
      <w:r w:rsidRPr="000A459B">
        <w:t>you</w:t>
      </w:r>
      <w:r w:rsidRPr="00704332">
        <w:rPr>
          <w:spacing w:val="-13"/>
        </w:rPr>
        <w:t xml:space="preserve"> </w:t>
      </w:r>
      <w:r w:rsidRPr="000A459B">
        <w:t>married?</w:t>
      </w:r>
      <w:r w:rsidR="000321A2">
        <w:t>”</w:t>
      </w:r>
      <w:r w:rsidRPr="00704332">
        <w:rPr>
          <w:spacing w:val="-8"/>
        </w:rPr>
        <w:t xml:space="preserve"> </w:t>
      </w:r>
      <w:r w:rsidR="000321A2">
        <w:t>should</w:t>
      </w:r>
      <w:r w:rsidRPr="00704332">
        <w:rPr>
          <w:spacing w:val="-21"/>
        </w:rPr>
        <w:t xml:space="preserve"> </w:t>
      </w:r>
      <w:r w:rsidRPr="000A459B">
        <w:t>be</w:t>
      </w:r>
      <w:r w:rsidRPr="00704332">
        <w:rPr>
          <w:spacing w:val="-9"/>
        </w:rPr>
        <w:t xml:space="preserve"> </w:t>
      </w:r>
      <w:r w:rsidRPr="000A459B">
        <w:t>avoided).</w:t>
      </w:r>
      <w:r w:rsidR="000A459B">
        <w:t xml:space="preserve"> Only ask questions that are relevant to job performance. </w:t>
      </w:r>
    </w:p>
    <w:p w:rsidR="00856708" w:rsidRDefault="00856708" w:rsidP="00704332"/>
    <w:p w:rsidR="00856708" w:rsidRPr="00856708" w:rsidRDefault="000321A2" w:rsidP="00704332">
      <w:pPr>
        <w:pStyle w:val="ListParagraph"/>
        <w:numPr>
          <w:ilvl w:val="0"/>
          <w:numId w:val="3"/>
        </w:numPr>
      </w:pPr>
      <w:r>
        <w:t>Be aware of the ‘next steps’</w:t>
      </w:r>
      <w:r w:rsidR="00856708" w:rsidRPr="00856708">
        <w:t xml:space="preserve"> and be prepared to advise applicants of a realistic timeframe to a decision.</w:t>
      </w:r>
    </w:p>
    <w:p w:rsidR="000A459B" w:rsidRDefault="000A459B" w:rsidP="00704332"/>
    <w:p w:rsidR="000A459B" w:rsidRDefault="000A459B" w:rsidP="00704332">
      <w:pPr>
        <w:pStyle w:val="ListParagraph"/>
        <w:numPr>
          <w:ilvl w:val="0"/>
          <w:numId w:val="3"/>
        </w:numPr>
      </w:pPr>
      <w:r>
        <w:t xml:space="preserve">Advise applicant if you have plans to take notes. Make sure any notes are related to questions, not judgements. </w:t>
      </w:r>
    </w:p>
    <w:p w:rsidR="000A459B" w:rsidRPr="000A459B" w:rsidRDefault="000A459B" w:rsidP="00704332"/>
    <w:p w:rsidR="000A459B" w:rsidRPr="000A459B" w:rsidRDefault="000A459B" w:rsidP="00704332">
      <w:pPr>
        <w:pStyle w:val="ListParagraph"/>
        <w:numPr>
          <w:ilvl w:val="0"/>
          <w:numId w:val="3"/>
        </w:numPr>
      </w:pPr>
      <w:r>
        <w:t>Ensure suitable time to respond to the applicant’s questions. The applicant should do most of the talking.</w:t>
      </w:r>
    </w:p>
    <w:p w:rsidR="00F97D28" w:rsidRDefault="00F97D28" w:rsidP="00704332"/>
    <w:p w:rsidR="00F97D28" w:rsidRPr="00F97D28" w:rsidRDefault="000A459B" w:rsidP="00704332">
      <w:pPr>
        <w:pStyle w:val="ListParagraph"/>
        <w:numPr>
          <w:ilvl w:val="0"/>
          <w:numId w:val="3"/>
        </w:numPr>
      </w:pPr>
      <w:r>
        <w:t>Interviewer(s)</w:t>
      </w:r>
      <w:r w:rsidR="00F97D28" w:rsidRPr="00F97D28">
        <w:t xml:space="preserve"> should make appropriate and constructive comme</w:t>
      </w:r>
      <w:r w:rsidR="000321A2">
        <w:t>nts on the I</w:t>
      </w:r>
      <w:r w:rsidR="00F97D28">
        <w:t xml:space="preserve">nterview </w:t>
      </w:r>
      <w:r w:rsidR="000321A2">
        <w:t>E</w:t>
      </w:r>
      <w:r w:rsidR="00F97D28">
        <w:t xml:space="preserve">valuation </w:t>
      </w:r>
      <w:r w:rsidR="00F97D28" w:rsidRPr="00F97D28">
        <w:t xml:space="preserve">form to enable feedback to </w:t>
      </w:r>
      <w:r>
        <w:t>applicants</w:t>
      </w:r>
      <w:r w:rsidR="00F97D28" w:rsidRPr="00F97D28">
        <w:t xml:space="preserve"> at a post interview briefing if requested.</w:t>
      </w:r>
    </w:p>
    <w:sectPr w:rsidR="00F97D28" w:rsidRPr="00F97D28" w:rsidSect="00BD5C79">
      <w:footerReference w:type="default" r:id="rId12"/>
      <w:type w:val="continuous"/>
      <w:pgSz w:w="11920" w:h="16840"/>
      <w:pgMar w:top="709" w:right="1200" w:bottom="280" w:left="860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E8" w:rsidRDefault="00CA0CE8" w:rsidP="00394B77">
      <w:r>
        <w:separator/>
      </w:r>
    </w:p>
  </w:endnote>
  <w:endnote w:type="continuationSeparator" w:id="0">
    <w:p w:rsidR="00CA0CE8" w:rsidRDefault="00CA0CE8" w:rsidP="0039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77" w:rsidRDefault="00E03317">
    <w:pPr>
      <w:pStyle w:val="Footer"/>
      <w:rPr>
        <w:i/>
        <w:sz w:val="20"/>
      </w:rPr>
    </w:pPr>
    <w:r>
      <w:rPr>
        <w:sz w:val="20"/>
      </w:rPr>
      <w:t xml:space="preserve">For more information on this topic, refer to </w:t>
    </w:r>
    <w:r w:rsidR="00394B77" w:rsidRPr="00D554CA">
      <w:rPr>
        <w:b/>
        <w:sz w:val="20"/>
      </w:rPr>
      <w:t>Chapter 2. Attract, Recruit and Select</w:t>
    </w:r>
    <w:r>
      <w:rPr>
        <w:b/>
        <w:sz w:val="20"/>
      </w:rPr>
      <w:t xml:space="preserve"> </w:t>
    </w:r>
    <w:r>
      <w:rPr>
        <w:sz w:val="20"/>
      </w:rPr>
      <w:t>of</w:t>
    </w:r>
    <w:r w:rsidR="00394B77" w:rsidRPr="00D554CA">
      <w:rPr>
        <w:sz w:val="20"/>
      </w:rPr>
      <w:t xml:space="preserve"> </w:t>
    </w:r>
    <w:r w:rsidR="00394B77" w:rsidRPr="00D554CA">
      <w:rPr>
        <w:i/>
        <w:sz w:val="20"/>
      </w:rPr>
      <w:t>Your Workforce – a guide for Northern Territory Employers.</w:t>
    </w:r>
  </w:p>
  <w:p w:rsidR="00BD5C79" w:rsidRPr="00BD5C79" w:rsidRDefault="00BD5C79">
    <w:pPr>
      <w:pStyle w:val="Footer"/>
      <w:rPr>
        <w:i/>
        <w:sz w:val="10"/>
        <w:szCs w:val="10"/>
      </w:rPr>
    </w:pPr>
  </w:p>
  <w:tbl>
    <w:tblPr>
      <w:tblW w:w="1020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268"/>
    </w:tblGrid>
    <w:tr w:rsidR="00BD5C79" w:rsidRPr="00BD5C79" w:rsidTr="00BD5C79">
      <w:trPr>
        <w:trHeight w:val="567"/>
      </w:trPr>
      <w:tc>
        <w:tcPr>
          <w:tcW w:w="7938" w:type="dxa"/>
          <w:shd w:val="clear" w:color="auto" w:fill="auto"/>
        </w:tcPr>
        <w:p w:rsidR="00BD5C79" w:rsidRPr="00BD5C79" w:rsidRDefault="00BD5C79" w:rsidP="00BD5C79">
          <w:pPr>
            <w:tabs>
              <w:tab w:val="center" w:pos="4513"/>
              <w:tab w:val="right" w:pos="9026"/>
            </w:tabs>
            <w:spacing w:before="120"/>
            <w:rPr>
              <w:rFonts w:eastAsia="Calibri" w:cs="Arial"/>
              <w:sz w:val="18"/>
              <w:szCs w:val="18"/>
              <w:lang w:eastAsia="en-US"/>
            </w:rPr>
          </w:pPr>
          <w:r w:rsidRPr="00BD5C79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BD5C79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BD5C79" w:rsidRPr="00BD5C79" w:rsidRDefault="003B354F" w:rsidP="00BD5C79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="00BD5C79" w:rsidRPr="00BD5C79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="00BD5C79" w:rsidRPr="00BD5C7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BD5C79" w:rsidRPr="00BD5C7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="00BD5C79" w:rsidRPr="00BD5C7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BD5C79" w:rsidRPr="00BD5C7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="00BD5C79" w:rsidRPr="00BD5C79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="00BD5C79" w:rsidRPr="00BD5C7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BD5C79" w:rsidRPr="00BD5C7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="00BD5C79" w:rsidRPr="00BD5C7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BD5C79" w:rsidRPr="00BD5C7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26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D5C79" w:rsidRPr="00BD5C79" w:rsidRDefault="00BD5C79" w:rsidP="00BD5C79">
          <w:pPr>
            <w:tabs>
              <w:tab w:val="right" w:pos="9044"/>
            </w:tabs>
            <w:spacing w:after="120"/>
            <w:rPr>
              <w:b/>
              <w:sz w:val="32"/>
            </w:rPr>
          </w:pPr>
          <w:r w:rsidRPr="00BD5C79">
            <w:rPr>
              <w:b/>
              <w:noProof/>
              <w:sz w:val="18"/>
              <w:szCs w:val="18"/>
            </w:rPr>
            <w:drawing>
              <wp:inline distT="0" distB="0" distL="0" distR="0" wp14:anchorId="67354433" wp14:editId="01864075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5C79" w:rsidRPr="00BD5C79" w:rsidRDefault="00BD5C7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E8" w:rsidRDefault="00CA0CE8" w:rsidP="00394B77">
      <w:r>
        <w:separator/>
      </w:r>
    </w:p>
  </w:footnote>
  <w:footnote w:type="continuationSeparator" w:id="0">
    <w:p w:rsidR="00CA0CE8" w:rsidRDefault="00CA0CE8" w:rsidP="0039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54D"/>
    <w:multiLevelType w:val="hybridMultilevel"/>
    <w:tmpl w:val="9C90C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165C6"/>
    <w:multiLevelType w:val="hybridMultilevel"/>
    <w:tmpl w:val="480EC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A4FDF"/>
    <w:multiLevelType w:val="hybridMultilevel"/>
    <w:tmpl w:val="E3A2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A"/>
    <w:rsid w:val="000301E3"/>
    <w:rsid w:val="000321A2"/>
    <w:rsid w:val="000A459B"/>
    <w:rsid w:val="000E2B65"/>
    <w:rsid w:val="00297652"/>
    <w:rsid w:val="002B6305"/>
    <w:rsid w:val="00394B77"/>
    <w:rsid w:val="003B354F"/>
    <w:rsid w:val="00533EA1"/>
    <w:rsid w:val="005A58D4"/>
    <w:rsid w:val="005C5CCA"/>
    <w:rsid w:val="006D6437"/>
    <w:rsid w:val="00700C2D"/>
    <w:rsid w:val="00704332"/>
    <w:rsid w:val="00750456"/>
    <w:rsid w:val="007D7A8D"/>
    <w:rsid w:val="00856708"/>
    <w:rsid w:val="009373E3"/>
    <w:rsid w:val="00972097"/>
    <w:rsid w:val="009B6F01"/>
    <w:rsid w:val="00A421F3"/>
    <w:rsid w:val="00AD2476"/>
    <w:rsid w:val="00B1221A"/>
    <w:rsid w:val="00B707A5"/>
    <w:rsid w:val="00BD5C79"/>
    <w:rsid w:val="00C36297"/>
    <w:rsid w:val="00C475BB"/>
    <w:rsid w:val="00CA0CE8"/>
    <w:rsid w:val="00D2702D"/>
    <w:rsid w:val="00D523B5"/>
    <w:rsid w:val="00D82C1B"/>
    <w:rsid w:val="00D9421C"/>
    <w:rsid w:val="00E03317"/>
    <w:rsid w:val="00E1194E"/>
    <w:rsid w:val="00F143C9"/>
    <w:rsid w:val="00F24D1C"/>
    <w:rsid w:val="00F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7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332"/>
    <w:pPr>
      <w:keepNext/>
      <w:widowControl w:val="0"/>
      <w:suppressAutoHyphens/>
      <w:autoSpaceDE w:val="0"/>
      <w:autoSpaceDN w:val="0"/>
      <w:adjustRightInd w:val="0"/>
      <w:spacing w:before="240" w:after="60" w:line="264" w:lineRule="auto"/>
      <w:outlineLvl w:val="0"/>
    </w:pPr>
    <w:rPr>
      <w:rFonts w:cs="Arial"/>
      <w:b/>
      <w:bCs/>
      <w:color w:val="53287C"/>
      <w:kern w:val="32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332"/>
    <w:pPr>
      <w:widowControl w:val="0"/>
      <w:autoSpaceDE w:val="0"/>
      <w:autoSpaceDN w:val="0"/>
      <w:adjustRightInd w:val="0"/>
      <w:spacing w:before="240" w:after="120" w:line="264" w:lineRule="auto"/>
      <w:outlineLvl w:val="1"/>
    </w:pPr>
    <w:rPr>
      <w:rFonts w:cs="Arial"/>
      <w:b/>
      <w:color w:val="54287D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EA1"/>
    <w:pPr>
      <w:widowControl w:val="0"/>
      <w:autoSpaceDE w:val="0"/>
      <w:autoSpaceDN w:val="0"/>
      <w:adjustRightInd w:val="0"/>
      <w:spacing w:before="64" w:line="218" w:lineRule="exact"/>
      <w:ind w:left="85" w:right="-20"/>
      <w:outlineLvl w:val="2"/>
    </w:pPr>
    <w:rPr>
      <w:rFonts w:cs="Arial"/>
      <w:color w:val="FFFFFF"/>
      <w:spacing w:val="-8"/>
      <w:position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332"/>
    <w:rPr>
      <w:rFonts w:ascii="Arial" w:hAnsi="Arial" w:cs="Arial"/>
      <w:b/>
      <w:bCs/>
      <w:color w:val="53287C"/>
      <w:kern w:val="3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04332"/>
    <w:rPr>
      <w:rFonts w:ascii="Arial" w:hAnsi="Arial" w:cs="Arial"/>
      <w:b/>
      <w:color w:val="54287D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3EA1"/>
    <w:rPr>
      <w:rFonts w:ascii="Arial" w:hAnsi="Arial" w:cs="Arial"/>
      <w:color w:val="FFFFFF"/>
      <w:spacing w:val="-8"/>
      <w:position w:val="-3"/>
    </w:rPr>
  </w:style>
  <w:style w:type="paragraph" w:styleId="Header">
    <w:name w:val="header"/>
    <w:basedOn w:val="Normal"/>
    <w:link w:val="HeaderChar"/>
    <w:uiPriority w:val="99"/>
    <w:unhideWhenUsed/>
    <w:rsid w:val="00394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B7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4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B77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A4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7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332"/>
    <w:pPr>
      <w:keepNext/>
      <w:widowControl w:val="0"/>
      <w:suppressAutoHyphens/>
      <w:autoSpaceDE w:val="0"/>
      <w:autoSpaceDN w:val="0"/>
      <w:adjustRightInd w:val="0"/>
      <w:spacing w:before="240" w:after="60" w:line="264" w:lineRule="auto"/>
      <w:outlineLvl w:val="0"/>
    </w:pPr>
    <w:rPr>
      <w:rFonts w:cs="Arial"/>
      <w:b/>
      <w:bCs/>
      <w:color w:val="53287C"/>
      <w:kern w:val="32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332"/>
    <w:pPr>
      <w:widowControl w:val="0"/>
      <w:autoSpaceDE w:val="0"/>
      <w:autoSpaceDN w:val="0"/>
      <w:adjustRightInd w:val="0"/>
      <w:spacing w:before="240" w:after="120" w:line="264" w:lineRule="auto"/>
      <w:outlineLvl w:val="1"/>
    </w:pPr>
    <w:rPr>
      <w:rFonts w:cs="Arial"/>
      <w:b/>
      <w:color w:val="54287D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EA1"/>
    <w:pPr>
      <w:widowControl w:val="0"/>
      <w:autoSpaceDE w:val="0"/>
      <w:autoSpaceDN w:val="0"/>
      <w:adjustRightInd w:val="0"/>
      <w:spacing w:before="64" w:line="218" w:lineRule="exact"/>
      <w:ind w:left="85" w:right="-20"/>
      <w:outlineLvl w:val="2"/>
    </w:pPr>
    <w:rPr>
      <w:rFonts w:cs="Arial"/>
      <w:color w:val="FFFFFF"/>
      <w:spacing w:val="-8"/>
      <w:position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332"/>
    <w:rPr>
      <w:rFonts w:ascii="Arial" w:hAnsi="Arial" w:cs="Arial"/>
      <w:b/>
      <w:bCs/>
      <w:color w:val="53287C"/>
      <w:kern w:val="3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04332"/>
    <w:rPr>
      <w:rFonts w:ascii="Arial" w:hAnsi="Arial" w:cs="Arial"/>
      <w:b/>
      <w:color w:val="54287D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3EA1"/>
    <w:rPr>
      <w:rFonts w:ascii="Arial" w:hAnsi="Arial" w:cs="Arial"/>
      <w:color w:val="FFFFFF"/>
      <w:spacing w:val="-8"/>
      <w:position w:val="-3"/>
    </w:rPr>
  </w:style>
  <w:style w:type="paragraph" w:styleId="Header">
    <w:name w:val="header"/>
    <w:basedOn w:val="Normal"/>
    <w:link w:val="HeaderChar"/>
    <w:uiPriority w:val="99"/>
    <w:unhideWhenUsed/>
    <w:rsid w:val="00394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B7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4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B77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A4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2AXQX2YYQNYC-570-20</_dlc_DocId>
    <_dlc_DocIdUrl xmlns="28e3188d-fccf-4e87-a6b6-2e446be4517c">
      <Url>http://www.dob.nt.gov.au/Employment/workforce-development/your-workforce/_layouts/DocIdRedir.aspx?ID=2AXQX2YYQNYC-570-20</Url>
      <Description>2AXQX2YYQNYC-570-20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31 kb)</Document_x0020_Size>
    <_dlc_DocIdPersistId xmlns="28e3188d-fccf-4e87-a6b6-2e446be4517c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A1F8B-BD44-403F-9FC7-B1937F572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6C1A-8FB2-4236-8CEE-F7F62D9CEB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FF42E0-8007-4527-A00D-995D5CF21C8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8e3188d-fccf-4e87-a6b6-2e446be4517c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B5CAF2-685C-472C-9838-ED318D3C5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an interview checklist</vt:lpstr>
    </vt:vector>
  </TitlesOfParts>
  <Company>Toshiba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an interview checklist</dc:title>
  <dc:creator>Northern Territory Government</dc:creator>
  <cp:lastModifiedBy>Nicole Allen</cp:lastModifiedBy>
  <cp:revision>2</cp:revision>
  <dcterms:created xsi:type="dcterms:W3CDTF">2015-10-08T04:46:00Z</dcterms:created>
  <dcterms:modified xsi:type="dcterms:W3CDTF">2015-10-08T04:46:00Z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df3b0c32-cd9a-4415-a6d7-88b34c5534d1</vt:lpwstr>
  </property>
  <property fmtid="{D5CDD505-2E9C-101B-9397-08002B2CF9AE}" pid="4" name="TemplateUrl">
    <vt:lpwstr/>
  </property>
  <property fmtid="{D5CDD505-2E9C-101B-9397-08002B2CF9AE}" pid="5" name="Order">
    <vt:r8>2000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