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sz w:val="56"/>
          <w:szCs w:val="52"/>
        </w:rPr>
        <w:alias w:val="Title"/>
        <w:tag w:val="Title"/>
        <w:id w:val="-509755993"/>
        <w:placeholder>
          <w:docPart w:val="18E53A0AAF794CC582ACAD41EDCEBA0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color w:val="1F1F5F"/>
        <w:text w:multiLine="1"/>
      </w:sdtPr>
      <w:sdtContent>
        <w:p w14:paraId="4D5852AC" w14:textId="5627FC25" w:rsidR="00D61FD1" w:rsidRDefault="00A1413B" w:rsidP="006F48CD">
          <w:pPr>
            <w:pStyle w:val="Heading1"/>
          </w:pPr>
          <w:r w:rsidRPr="006F48CD">
            <w:rPr>
              <w:sz w:val="56"/>
              <w:szCs w:val="52"/>
            </w:rPr>
            <w:t>Barramundi Fishery Status Report</w:t>
          </w:r>
          <w:r w:rsidR="006F48CD">
            <w:rPr>
              <w:sz w:val="56"/>
              <w:szCs w:val="52"/>
            </w:rPr>
            <w:t xml:space="preserve"> 2024</w:t>
          </w:r>
        </w:p>
      </w:sdtContent>
    </w:sdt>
    <w:bookmarkStart w:id="0" w:name="_Toc15286907" w:displacedByCustomXml="prev"/>
    <w:bookmarkStart w:id="1" w:name="_Toc15286861" w:displacedByCustomXml="prev"/>
    <w:bookmarkEnd w:id="1"/>
    <w:bookmarkEnd w:id="0"/>
    <w:p w14:paraId="1404AD5E" w14:textId="739639C0" w:rsidR="006F48CD" w:rsidRPr="006F48CD" w:rsidRDefault="006F48CD" w:rsidP="006F48CD">
      <w:pPr>
        <w:pStyle w:val="Heading2"/>
        <w:rPr>
          <w:sz w:val="18"/>
          <w:szCs w:val="16"/>
          <w:lang w:eastAsia="en-AU"/>
        </w:rPr>
      </w:pPr>
      <w:r w:rsidRPr="006F48CD">
        <w:rPr>
          <w:sz w:val="36"/>
          <w:szCs w:val="36"/>
        </w:rPr>
        <w:t>Fishing season</w:t>
      </w:r>
      <w:r>
        <w:rPr>
          <w:sz w:val="36"/>
          <w:szCs w:val="36"/>
        </w:rPr>
        <w:t xml:space="preserve">: </w:t>
      </w:r>
      <w:r w:rsidRPr="006F48CD">
        <w:rPr>
          <w:sz w:val="36"/>
          <w:szCs w:val="36"/>
        </w:rPr>
        <w:t>1 February</w:t>
      </w:r>
      <w:r>
        <w:rPr>
          <w:sz w:val="36"/>
          <w:szCs w:val="36"/>
        </w:rPr>
        <w:t xml:space="preserve"> – </w:t>
      </w:r>
      <w:r w:rsidRPr="006F48CD">
        <w:rPr>
          <w:sz w:val="36"/>
          <w:szCs w:val="36"/>
        </w:rPr>
        <w:t>30 September 2024</w:t>
      </w:r>
    </w:p>
    <w:p w14:paraId="49DF39C5" w14:textId="59C35CF8" w:rsidR="0066103A" w:rsidRPr="0066103A" w:rsidRDefault="004A79A8" w:rsidP="007742D7">
      <w:pPr>
        <w:pStyle w:val="Heading1"/>
        <w:spacing w:before="120" w:after="120"/>
        <w:rPr>
          <w:sz w:val="32"/>
          <w:szCs w:val="28"/>
          <w:lang w:eastAsia="en-AU"/>
        </w:rPr>
      </w:pPr>
      <w:r w:rsidRPr="004A79A8">
        <w:rPr>
          <w:sz w:val="32"/>
          <w:szCs w:val="28"/>
          <w:lang w:eastAsia="en-AU"/>
        </w:rPr>
        <w:t>Catch</w:t>
      </w:r>
    </w:p>
    <w:p w14:paraId="0391DB34" w14:textId="2A4B194D" w:rsidR="0066103A" w:rsidRDefault="0066103A" w:rsidP="0066103A">
      <w:pPr>
        <w:shd w:val="clear" w:color="auto" w:fill="FFFFFF" w:themeFill="background1"/>
        <w:jc w:val="both"/>
        <w:rPr>
          <w:rFonts w:asciiTheme="minorHAnsi" w:hAnsiTheme="minorHAnsi"/>
          <w:lang w:eastAsia="en-AU"/>
        </w:rPr>
      </w:pPr>
      <w:r w:rsidRPr="009E45A7">
        <w:rPr>
          <w:rFonts w:asciiTheme="minorHAnsi" w:hAnsiTheme="minorHAnsi"/>
          <w:lang w:eastAsia="en-AU"/>
        </w:rPr>
        <w:t xml:space="preserve">The total commercial catch of Barramundi for the 2024 fishing season was 101.2 tonnes and </w:t>
      </w:r>
      <w:r w:rsidRPr="009E45A7">
        <w:rPr>
          <w:rFonts w:asciiTheme="minorHAnsi" w:eastAsia="Times New Roman" w:hAnsiTheme="minorHAnsi"/>
        </w:rPr>
        <w:t>King Threadfin was</w:t>
      </w:r>
      <w:r>
        <w:rPr>
          <w:rFonts w:asciiTheme="minorHAnsi" w:eastAsia="Times New Roman" w:hAnsiTheme="minorHAnsi"/>
        </w:rPr>
        <w:t xml:space="preserve"> 5</w:t>
      </w:r>
      <w:r w:rsidRPr="009E45A7">
        <w:rPr>
          <w:rFonts w:asciiTheme="minorHAnsi" w:eastAsia="Times New Roman" w:hAnsiTheme="minorHAnsi"/>
        </w:rPr>
        <w:t>2 tonnes</w:t>
      </w:r>
      <w:r w:rsidR="00391117">
        <w:rPr>
          <w:rFonts w:asciiTheme="minorHAnsi" w:eastAsia="Times New Roman" w:hAnsiTheme="minorHAnsi"/>
        </w:rPr>
        <w:t xml:space="preserve"> (Figure 1)</w:t>
      </w:r>
      <w:r w:rsidRPr="009E45A7">
        <w:rPr>
          <w:rFonts w:asciiTheme="minorHAnsi" w:eastAsia="Times New Roman" w:hAnsiTheme="minorHAnsi"/>
        </w:rPr>
        <w:t xml:space="preserve">. </w:t>
      </w:r>
      <w:r>
        <w:rPr>
          <w:rFonts w:asciiTheme="minorHAnsi" w:eastAsia="Times New Roman" w:hAnsiTheme="minorHAnsi"/>
        </w:rPr>
        <w:t>Catch of both Barramundi and King Threadfin has decreased by 46% from the</w:t>
      </w:r>
      <w:r w:rsidR="00391117">
        <w:rPr>
          <w:rFonts w:asciiTheme="minorHAnsi" w:eastAsia="Times New Roman" w:hAnsiTheme="minorHAnsi"/>
        </w:rPr>
        <w:t xml:space="preserve"> 2023</w:t>
      </w:r>
      <w:r>
        <w:rPr>
          <w:rFonts w:asciiTheme="minorHAnsi" w:eastAsia="Times New Roman" w:hAnsiTheme="minorHAnsi"/>
        </w:rPr>
        <w:t xml:space="preserve"> fishing season. </w:t>
      </w:r>
      <w:r w:rsidRPr="009E45A7">
        <w:rPr>
          <w:rFonts w:asciiTheme="minorHAnsi" w:eastAsia="Times New Roman" w:hAnsiTheme="minorHAnsi"/>
        </w:rPr>
        <w:t xml:space="preserve">This represents a continuation in the declining catch trend which has been observed across the fishery within the last </w:t>
      </w:r>
      <w:r>
        <w:rPr>
          <w:rFonts w:asciiTheme="minorHAnsi" w:eastAsia="Times New Roman" w:hAnsiTheme="minorHAnsi"/>
        </w:rPr>
        <w:t xml:space="preserve">two </w:t>
      </w:r>
      <w:r w:rsidRPr="009E45A7">
        <w:rPr>
          <w:rFonts w:asciiTheme="minorHAnsi" w:eastAsia="Times New Roman" w:hAnsiTheme="minorHAnsi"/>
        </w:rPr>
        <w:t>decade</w:t>
      </w:r>
      <w:r>
        <w:rPr>
          <w:rFonts w:asciiTheme="minorHAnsi" w:eastAsia="Times New Roman" w:hAnsiTheme="minorHAnsi"/>
        </w:rPr>
        <w:t>s</w:t>
      </w:r>
      <w:r w:rsidRPr="009E45A7">
        <w:rPr>
          <w:rFonts w:asciiTheme="minorHAnsi" w:eastAsia="Times New Roman" w:hAnsiTheme="minorHAnsi"/>
        </w:rPr>
        <w:t xml:space="preserve"> and coincides with declining effort within the fishery</w:t>
      </w:r>
      <w:r w:rsidR="00391117">
        <w:rPr>
          <w:rFonts w:asciiTheme="minorHAnsi" w:eastAsia="Times New Roman" w:hAnsiTheme="minorHAnsi"/>
        </w:rPr>
        <w:t xml:space="preserve"> (Figure 2)</w:t>
      </w:r>
      <w:r w:rsidRPr="009E45A7">
        <w:rPr>
          <w:rFonts w:asciiTheme="minorHAnsi" w:eastAsia="Times New Roman" w:hAnsiTheme="minorHAnsi"/>
        </w:rPr>
        <w:t>.</w:t>
      </w:r>
      <w:r w:rsidRPr="0066103A">
        <w:rPr>
          <w:rFonts w:asciiTheme="minorHAnsi" w:hAnsiTheme="minorHAnsi"/>
          <w:lang w:eastAsia="en-AU"/>
        </w:rPr>
        <w:t xml:space="preserve"> </w:t>
      </w:r>
      <w:r w:rsidRPr="009E45A7">
        <w:rPr>
          <w:rFonts w:asciiTheme="minorHAnsi" w:hAnsiTheme="minorHAnsi"/>
          <w:lang w:eastAsia="en-AU"/>
        </w:rPr>
        <w:t xml:space="preserve">The catch composition for the 2024 Barramundi Fishery season comprised of </w:t>
      </w:r>
      <w:r>
        <w:rPr>
          <w:rFonts w:asciiTheme="minorHAnsi" w:hAnsiTheme="minorHAnsi"/>
          <w:lang w:eastAsia="en-AU"/>
        </w:rPr>
        <w:t xml:space="preserve">approximately </w:t>
      </w:r>
      <w:r w:rsidRPr="009E45A7">
        <w:rPr>
          <w:rFonts w:asciiTheme="minorHAnsi" w:hAnsiTheme="minorHAnsi"/>
          <w:lang w:eastAsia="en-AU"/>
        </w:rPr>
        <w:t>65% Barramundi, 33% King Threadfin, and &lt;</w:t>
      </w:r>
      <w:r>
        <w:rPr>
          <w:rFonts w:asciiTheme="minorHAnsi" w:hAnsiTheme="minorHAnsi"/>
          <w:lang w:eastAsia="en-AU"/>
        </w:rPr>
        <w:t>2</w:t>
      </w:r>
      <w:r w:rsidRPr="009E45A7">
        <w:rPr>
          <w:rFonts w:asciiTheme="minorHAnsi" w:hAnsiTheme="minorHAnsi"/>
          <w:lang w:eastAsia="en-AU"/>
        </w:rPr>
        <w:t xml:space="preserve">% </w:t>
      </w:r>
      <w:r>
        <w:rPr>
          <w:rFonts w:asciiTheme="minorHAnsi" w:hAnsiTheme="minorHAnsi"/>
          <w:lang w:eastAsia="en-AU"/>
        </w:rPr>
        <w:t xml:space="preserve">all other finfish species including </w:t>
      </w:r>
      <w:r w:rsidRPr="009E45A7">
        <w:rPr>
          <w:rFonts w:asciiTheme="minorHAnsi" w:hAnsiTheme="minorHAnsi"/>
          <w:lang w:eastAsia="en-AU"/>
        </w:rPr>
        <w:t>Black Jewfish and Queenfish</w:t>
      </w:r>
      <w:r>
        <w:rPr>
          <w:rFonts w:asciiTheme="minorHAnsi" w:hAnsiTheme="minorHAnsi"/>
          <w:lang w:eastAsia="en-AU"/>
        </w:rPr>
        <w:t>.</w:t>
      </w:r>
    </w:p>
    <w:p w14:paraId="7324CFDA" w14:textId="2E85110E" w:rsidR="0066103A" w:rsidRDefault="00090F70" w:rsidP="00A816E5">
      <w:pPr>
        <w:shd w:val="clear" w:color="auto" w:fill="FFFFFF" w:themeFill="background1"/>
        <w:jc w:val="both"/>
        <w:rPr>
          <w:rFonts w:asciiTheme="minorHAnsi" w:hAnsiTheme="minorHAnsi"/>
          <w:lang w:eastAsia="en-AU"/>
        </w:rPr>
      </w:pPr>
      <w:r>
        <w:rPr>
          <w:noProof/>
        </w:rPr>
        <w:drawing>
          <wp:inline distT="0" distB="0" distL="0" distR="0" wp14:anchorId="41EC0EFE" wp14:editId="5244565A">
            <wp:extent cx="6330315" cy="3947160"/>
            <wp:effectExtent l="0" t="0" r="0" b="0"/>
            <wp:docPr id="1866526041" name="Chart 1" descr="Figure 1. Catch composition of the Barramundi Fishery between 1983 and 2024.">
              <a:extLst xmlns:a="http://schemas.openxmlformats.org/drawingml/2006/main">
                <a:ext uri="{FF2B5EF4-FFF2-40B4-BE49-F238E27FC236}">
                  <a16:creationId xmlns:a16="http://schemas.microsoft.com/office/drawing/2014/main" id="{270D397F-9980-686D-F806-22423BFA2CC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ABDA708" w14:textId="3DD6842B" w:rsidR="0066103A" w:rsidRDefault="0066103A" w:rsidP="007742D7">
      <w:pPr>
        <w:keepNext/>
        <w:shd w:val="clear" w:color="auto" w:fill="FFFFFF" w:themeFill="background1"/>
        <w:spacing w:after="0"/>
        <w:jc w:val="both"/>
      </w:pPr>
    </w:p>
    <w:p w14:paraId="16CFF68E" w14:textId="5EB61967" w:rsidR="00A816E5" w:rsidRDefault="0066103A" w:rsidP="0066103A">
      <w:pPr>
        <w:pStyle w:val="Caption"/>
        <w:jc w:val="center"/>
        <w:rPr>
          <w:rFonts w:asciiTheme="minorHAnsi" w:eastAsia="Times New Roman" w:hAnsiTheme="minorHAnsi"/>
        </w:rPr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>. C</w:t>
      </w:r>
      <w:r w:rsidRPr="003D3563">
        <w:t xml:space="preserve">atch composition of the Barramundi Fishery between </w:t>
      </w:r>
      <w:r w:rsidR="00090F70">
        <w:t>1983</w:t>
      </w:r>
      <w:r w:rsidRPr="003D3563">
        <w:t xml:space="preserve"> and 2024.</w:t>
      </w:r>
    </w:p>
    <w:p w14:paraId="0FEB5D89" w14:textId="356B356F" w:rsidR="00F1530D" w:rsidRDefault="0066103A" w:rsidP="007742D7">
      <w:pPr>
        <w:pStyle w:val="Heading1"/>
        <w:spacing w:after="120"/>
      </w:pPr>
      <w:r>
        <w:t>Effort</w:t>
      </w:r>
    </w:p>
    <w:p w14:paraId="5D26EDBC" w14:textId="00B680B6" w:rsidR="004C014A" w:rsidRDefault="00712093" w:rsidP="004C014A">
      <w:pPr>
        <w:shd w:val="clear" w:color="auto" w:fill="FFFFFF" w:themeFill="background1"/>
        <w:jc w:val="both"/>
        <w:rPr>
          <w:rFonts w:asciiTheme="minorHAnsi" w:hAnsiTheme="minorHAnsi"/>
        </w:rPr>
      </w:pPr>
      <w:r w:rsidRPr="009E45A7">
        <w:rPr>
          <w:rFonts w:asciiTheme="minorHAnsi" w:hAnsiTheme="minorHAnsi"/>
        </w:rPr>
        <w:t xml:space="preserve">Effort for the 2024 fishing season was reported </w:t>
      </w:r>
      <w:r w:rsidR="004C014A" w:rsidRPr="009E45A7">
        <w:rPr>
          <w:rFonts w:asciiTheme="minorHAnsi" w:hAnsiTheme="minorHAnsi"/>
        </w:rPr>
        <w:t xml:space="preserve">from </w:t>
      </w:r>
      <w:r w:rsidR="005634DF">
        <w:rPr>
          <w:rFonts w:asciiTheme="minorHAnsi" w:hAnsiTheme="minorHAnsi"/>
        </w:rPr>
        <w:t>seven</w:t>
      </w:r>
      <w:r w:rsidR="004C014A" w:rsidRPr="009E45A7">
        <w:rPr>
          <w:rFonts w:asciiTheme="minorHAnsi" w:hAnsiTheme="minorHAnsi"/>
        </w:rPr>
        <w:t xml:space="preserve"> active licences</w:t>
      </w:r>
      <w:r w:rsidR="00391117">
        <w:rPr>
          <w:rFonts w:asciiTheme="minorHAnsi" w:hAnsiTheme="minorHAnsi"/>
        </w:rPr>
        <w:t xml:space="preserve"> </w:t>
      </w:r>
      <w:r w:rsidR="005634DF">
        <w:rPr>
          <w:rFonts w:asciiTheme="minorHAnsi" w:hAnsiTheme="minorHAnsi"/>
        </w:rPr>
        <w:t xml:space="preserve">across six </w:t>
      </w:r>
      <w:r w:rsidR="00906EE6">
        <w:rPr>
          <w:rFonts w:asciiTheme="minorHAnsi" w:hAnsiTheme="minorHAnsi"/>
        </w:rPr>
        <w:t xml:space="preserve">commercial </w:t>
      </w:r>
      <w:r w:rsidR="005634DF">
        <w:rPr>
          <w:rFonts w:asciiTheme="minorHAnsi" w:hAnsiTheme="minorHAnsi"/>
        </w:rPr>
        <w:t xml:space="preserve">vessels </w:t>
      </w:r>
      <w:r w:rsidRPr="009E45A7">
        <w:rPr>
          <w:rFonts w:asciiTheme="minorHAnsi" w:hAnsiTheme="minorHAnsi"/>
        </w:rPr>
        <w:t xml:space="preserve">as 3417 </w:t>
      </w:r>
      <w:proofErr w:type="gramStart"/>
      <w:r w:rsidRPr="009E45A7">
        <w:rPr>
          <w:rFonts w:asciiTheme="minorHAnsi" w:hAnsiTheme="minorHAnsi"/>
        </w:rPr>
        <w:t>Hundred</w:t>
      </w:r>
      <w:proofErr w:type="gramEnd"/>
      <w:r w:rsidRPr="009E45A7">
        <w:rPr>
          <w:rFonts w:asciiTheme="minorHAnsi" w:hAnsiTheme="minorHAnsi"/>
        </w:rPr>
        <w:t xml:space="preserve"> Metre Net Days </w:t>
      </w:r>
      <w:r w:rsidR="004B0155">
        <w:rPr>
          <w:rFonts w:asciiTheme="minorHAnsi" w:hAnsiTheme="minorHAnsi"/>
        </w:rPr>
        <w:t xml:space="preserve">(HMND) </w:t>
      </w:r>
      <w:r w:rsidR="005634DF">
        <w:rPr>
          <w:rFonts w:asciiTheme="minorHAnsi" w:hAnsiTheme="minorHAnsi"/>
        </w:rPr>
        <w:t xml:space="preserve">(Figure 2). </w:t>
      </w:r>
      <w:r w:rsidRPr="009E45A7">
        <w:rPr>
          <w:rFonts w:asciiTheme="minorHAnsi" w:hAnsiTheme="minorHAnsi"/>
        </w:rPr>
        <w:t xml:space="preserve"> </w:t>
      </w:r>
      <w:r w:rsidR="00993A87">
        <w:rPr>
          <w:rFonts w:asciiTheme="minorHAnsi" w:hAnsiTheme="minorHAnsi"/>
        </w:rPr>
        <w:t>HMND</w:t>
      </w:r>
      <w:r w:rsidR="00993A87" w:rsidRPr="00993A87">
        <w:rPr>
          <w:rFonts w:asciiTheme="minorHAnsi" w:hAnsiTheme="minorHAnsi"/>
        </w:rPr>
        <w:t xml:space="preserve"> refers to the length of net (measured in units of 100 m) used </w:t>
      </w:r>
      <w:r w:rsidR="00AA1925">
        <w:rPr>
          <w:rFonts w:asciiTheme="minorHAnsi" w:hAnsiTheme="minorHAnsi"/>
        </w:rPr>
        <w:t>for each day of fishing</w:t>
      </w:r>
      <w:r w:rsidR="00993A87" w:rsidRPr="00993A87">
        <w:rPr>
          <w:rFonts w:asciiTheme="minorHAnsi" w:hAnsiTheme="minorHAnsi"/>
        </w:rPr>
        <w:t xml:space="preserve"> </w:t>
      </w:r>
      <w:r w:rsidR="003F5E77">
        <w:rPr>
          <w:rFonts w:asciiTheme="minorHAnsi" w:hAnsiTheme="minorHAnsi"/>
        </w:rPr>
        <w:t>by commercial fishers</w:t>
      </w:r>
      <w:r w:rsidR="00993A87">
        <w:rPr>
          <w:rFonts w:asciiTheme="minorHAnsi" w:hAnsiTheme="minorHAnsi"/>
        </w:rPr>
        <w:t xml:space="preserve">. </w:t>
      </w:r>
      <w:r w:rsidR="005634DF">
        <w:rPr>
          <w:rFonts w:asciiTheme="minorHAnsi" w:hAnsiTheme="minorHAnsi"/>
        </w:rPr>
        <w:t>This level of effort is approximately 68% lower than the previous</w:t>
      </w:r>
      <w:r w:rsidRPr="009E45A7">
        <w:rPr>
          <w:rFonts w:asciiTheme="minorHAnsi" w:hAnsiTheme="minorHAnsi"/>
        </w:rPr>
        <w:t xml:space="preserve"> </w:t>
      </w:r>
      <w:r w:rsidR="005634DF">
        <w:rPr>
          <w:rFonts w:asciiTheme="minorHAnsi" w:hAnsiTheme="minorHAnsi"/>
        </w:rPr>
        <w:t>fishing season and</w:t>
      </w:r>
      <w:r w:rsidR="00020308">
        <w:rPr>
          <w:rFonts w:asciiTheme="minorHAnsi" w:hAnsiTheme="minorHAnsi"/>
        </w:rPr>
        <w:t xml:space="preserve"> </w:t>
      </w:r>
      <w:r w:rsidR="00906EE6">
        <w:rPr>
          <w:rFonts w:asciiTheme="minorHAnsi" w:hAnsiTheme="minorHAnsi"/>
        </w:rPr>
        <w:t>is</w:t>
      </w:r>
      <w:r w:rsidR="005634DF">
        <w:rPr>
          <w:rFonts w:asciiTheme="minorHAnsi" w:hAnsiTheme="minorHAnsi"/>
        </w:rPr>
        <w:t xml:space="preserve"> the lowest </w:t>
      </w:r>
      <w:r w:rsidR="00993A87">
        <w:rPr>
          <w:rFonts w:asciiTheme="minorHAnsi" w:hAnsiTheme="minorHAnsi"/>
        </w:rPr>
        <w:t>level</w:t>
      </w:r>
      <w:r w:rsidR="005634DF">
        <w:rPr>
          <w:rFonts w:asciiTheme="minorHAnsi" w:hAnsiTheme="minorHAnsi"/>
        </w:rPr>
        <w:t xml:space="preserve"> </w:t>
      </w:r>
      <w:r w:rsidR="00020308">
        <w:rPr>
          <w:rFonts w:asciiTheme="minorHAnsi" w:hAnsiTheme="minorHAnsi"/>
        </w:rPr>
        <w:t xml:space="preserve">of effort </w:t>
      </w:r>
      <w:r w:rsidR="005634DF">
        <w:rPr>
          <w:rFonts w:asciiTheme="minorHAnsi" w:hAnsiTheme="minorHAnsi"/>
        </w:rPr>
        <w:t xml:space="preserve">recorded in the history of the </w:t>
      </w:r>
      <w:r w:rsidR="00906EE6">
        <w:rPr>
          <w:rFonts w:asciiTheme="minorHAnsi" w:hAnsiTheme="minorHAnsi"/>
        </w:rPr>
        <w:t xml:space="preserve">commercial </w:t>
      </w:r>
      <w:r w:rsidR="005634DF">
        <w:rPr>
          <w:rFonts w:asciiTheme="minorHAnsi" w:hAnsiTheme="minorHAnsi"/>
        </w:rPr>
        <w:t>Barramundi Fishery.</w:t>
      </w:r>
    </w:p>
    <w:p w14:paraId="2E1CDBEF" w14:textId="7B7A688A" w:rsidR="00955C0D" w:rsidRDefault="00140EDB" w:rsidP="007742D7">
      <w:pPr>
        <w:keepNext/>
        <w:shd w:val="clear" w:color="auto" w:fill="FFFFFF" w:themeFill="background1"/>
        <w:spacing w:after="0"/>
        <w:jc w:val="center"/>
      </w:pPr>
      <w:r>
        <w:rPr>
          <w:noProof/>
        </w:rPr>
        <w:lastRenderedPageBreak/>
        <w:drawing>
          <wp:inline distT="0" distB="0" distL="0" distR="0" wp14:anchorId="1A540A72" wp14:editId="3C426499">
            <wp:extent cx="6551930" cy="2580640"/>
            <wp:effectExtent l="0" t="0" r="1270" b="10160"/>
            <wp:docPr id="2111879036" name="Picture 1" descr="Figure 2. Effort levels in HMND by fishing season from 1983 to 202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879036" name="Picture 1" descr="Figure 2. Effort levels in HMND by fishing season from 1983 to 2024.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1930" cy="258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4A4B22" w14:textId="0054691F" w:rsidR="003B671F" w:rsidRPr="009E45A7" w:rsidRDefault="00955C0D" w:rsidP="00955C0D">
      <w:pPr>
        <w:pStyle w:val="Caption"/>
        <w:jc w:val="center"/>
        <w:rPr>
          <w:rFonts w:asciiTheme="minorHAnsi" w:hAnsiTheme="minorHAnsi"/>
        </w:rPr>
      </w:pPr>
      <w:bookmarkStart w:id="2" w:name="_Ref184198452"/>
      <w:bookmarkStart w:id="3" w:name="_Ref184211392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66103A">
        <w:rPr>
          <w:noProof/>
        </w:rPr>
        <w:t>2</w:t>
      </w:r>
      <w:r>
        <w:fldChar w:fldCharType="end"/>
      </w:r>
      <w:bookmarkEnd w:id="2"/>
      <w:r>
        <w:t xml:space="preserve">. </w:t>
      </w:r>
      <w:r w:rsidR="004B0155">
        <w:t>E</w:t>
      </w:r>
      <w:r>
        <w:t xml:space="preserve">ffort levels in HMND by fishing season from </w:t>
      </w:r>
      <w:r w:rsidR="00140EDB">
        <w:t>1983</w:t>
      </w:r>
      <w:r>
        <w:t xml:space="preserve"> to 2024.</w:t>
      </w:r>
      <w:bookmarkEnd w:id="3"/>
    </w:p>
    <w:p w14:paraId="4416C12F" w14:textId="47727840" w:rsidR="00431359" w:rsidRPr="007742D7" w:rsidRDefault="00431359" w:rsidP="007742D7">
      <w:pPr>
        <w:pStyle w:val="Heading1"/>
        <w:spacing w:after="120"/>
      </w:pPr>
      <w:r w:rsidRPr="007742D7">
        <w:t>2024 Interim Effort Controls</w:t>
      </w:r>
    </w:p>
    <w:p w14:paraId="02213485" w14:textId="476B71CF" w:rsidR="004B0155" w:rsidRDefault="004B0155" w:rsidP="004B0155">
      <w:pPr>
        <w:keepNext/>
        <w:jc w:val="both"/>
        <w:rPr>
          <w:rFonts w:asciiTheme="minorHAnsi" w:hAnsiTheme="minorHAnsi"/>
        </w:rPr>
      </w:pPr>
      <w:r w:rsidRPr="004B0155">
        <w:rPr>
          <w:rFonts w:asciiTheme="minorHAnsi" w:hAnsiTheme="minorHAnsi"/>
        </w:rPr>
        <w:t>For the 2024 fishing season, interim commercial fishing effort limits were implemented in the Roper River, Anson Bay, and Moyle River catchments</w:t>
      </w:r>
      <w:r w:rsidR="005968A6">
        <w:rPr>
          <w:rFonts w:asciiTheme="minorHAnsi" w:hAnsiTheme="minorHAnsi"/>
        </w:rPr>
        <w:t xml:space="preserve">. These areas </w:t>
      </w:r>
      <w:r w:rsidRPr="004B0155">
        <w:rPr>
          <w:rFonts w:asciiTheme="minorHAnsi" w:hAnsiTheme="minorHAnsi"/>
        </w:rPr>
        <w:t xml:space="preserve">experience the highest overlap between recreational and commercial fishers. </w:t>
      </w:r>
      <w:r w:rsidR="005968A6">
        <w:rPr>
          <w:rFonts w:asciiTheme="minorHAnsi" w:hAnsiTheme="minorHAnsi"/>
        </w:rPr>
        <w:t>L</w:t>
      </w:r>
      <w:r w:rsidRPr="004B0155">
        <w:rPr>
          <w:rFonts w:asciiTheme="minorHAnsi" w:hAnsiTheme="minorHAnsi"/>
        </w:rPr>
        <w:t xml:space="preserve">imits were established </w:t>
      </w:r>
      <w:r w:rsidR="005968A6">
        <w:rPr>
          <w:rFonts w:asciiTheme="minorHAnsi" w:hAnsiTheme="minorHAnsi"/>
        </w:rPr>
        <w:t xml:space="preserve">in the three catchments </w:t>
      </w:r>
      <w:r w:rsidRPr="004B0155">
        <w:rPr>
          <w:rFonts w:asciiTheme="minorHAnsi" w:hAnsiTheme="minorHAnsi"/>
        </w:rPr>
        <w:t>to maintain commercial fishing effort within historical ranges from the past decade.</w:t>
      </w:r>
      <w:r>
        <w:rPr>
          <w:rFonts w:asciiTheme="minorHAnsi" w:hAnsiTheme="minorHAnsi"/>
        </w:rPr>
        <w:t xml:space="preserve"> </w:t>
      </w:r>
      <w:r w:rsidRPr="004B0155">
        <w:rPr>
          <w:rFonts w:asciiTheme="minorHAnsi" w:hAnsiTheme="minorHAnsi"/>
        </w:rPr>
        <w:t>For the season, fishing effort was 790 HMND in Anson Bay</w:t>
      </w:r>
      <w:r>
        <w:rPr>
          <w:rFonts w:asciiTheme="minorHAnsi" w:hAnsiTheme="minorHAnsi"/>
        </w:rPr>
        <w:t>,</w:t>
      </w:r>
      <w:r w:rsidRPr="004B0155">
        <w:rPr>
          <w:rFonts w:asciiTheme="minorHAnsi" w:hAnsiTheme="minorHAnsi"/>
        </w:rPr>
        <w:t xml:space="preserve"> 206 HMND in the Moyle River catchment, and 586 HMND in the Roper River catchment (Figure 3). This </w:t>
      </w:r>
      <w:r w:rsidR="00431359">
        <w:rPr>
          <w:rFonts w:asciiTheme="minorHAnsi" w:hAnsiTheme="minorHAnsi"/>
        </w:rPr>
        <w:t>is</w:t>
      </w:r>
      <w:r w:rsidRPr="004B0155">
        <w:rPr>
          <w:rFonts w:asciiTheme="minorHAnsi" w:hAnsiTheme="minorHAnsi"/>
        </w:rPr>
        <w:t xml:space="preserve"> approximately 28%, 16%, and 25% of the effort limits in Anson Bay, Moyle River, and Roper River, respectively.</w:t>
      </w:r>
    </w:p>
    <w:p w14:paraId="158D0265" w14:textId="77777777" w:rsidR="004B0155" w:rsidRDefault="004B0155" w:rsidP="004B0155">
      <w:pPr>
        <w:keepNext/>
        <w:jc w:val="both"/>
        <w:rPr>
          <w:rFonts w:asciiTheme="minorHAnsi" w:hAnsiTheme="minorHAnsi"/>
        </w:rPr>
      </w:pPr>
    </w:p>
    <w:p w14:paraId="28A096E7" w14:textId="33FBCE1F" w:rsidR="00955C0D" w:rsidRPr="004B0155" w:rsidRDefault="00326BE2" w:rsidP="007742D7">
      <w:pPr>
        <w:keepNext/>
        <w:spacing w:after="0"/>
        <w:jc w:val="center"/>
        <w:rPr>
          <w:rFonts w:asciiTheme="minorHAnsi" w:hAnsiTheme="minorHAnsi"/>
        </w:rPr>
      </w:pPr>
      <w:r>
        <w:rPr>
          <w:noProof/>
        </w:rPr>
        <w:drawing>
          <wp:inline distT="0" distB="0" distL="0" distR="0" wp14:anchorId="3608185B" wp14:editId="38C1D54D">
            <wp:extent cx="4686300" cy="2962275"/>
            <wp:effectExtent l="0" t="0" r="0" b="0"/>
            <wp:docPr id="239935325" name="Chart 1" descr="Figure 3. Effort levels from the 2024 fishing season and interim effort limits across managed catchment areas.">
              <a:extLst xmlns:a="http://schemas.openxmlformats.org/drawingml/2006/main">
                <a:ext uri="{FF2B5EF4-FFF2-40B4-BE49-F238E27FC236}">
                  <a16:creationId xmlns:a16="http://schemas.microsoft.com/office/drawing/2014/main" id="{EFA5A1C4-0DBC-F25E-8BE6-6CFB2E854A8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2AA7B2F" w14:textId="36E75828" w:rsidR="00B46D05" w:rsidRDefault="00955C0D" w:rsidP="00955C0D">
      <w:pPr>
        <w:pStyle w:val="Caption"/>
        <w:jc w:val="center"/>
        <w:rPr>
          <w:rFonts w:asciiTheme="minorHAnsi" w:hAnsiTheme="minorHAnsi" w:cs="Arial"/>
        </w:rPr>
      </w:pPr>
      <w:bookmarkStart w:id="4" w:name="_Ref184198483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66103A">
        <w:rPr>
          <w:noProof/>
        </w:rPr>
        <w:t>3</w:t>
      </w:r>
      <w:r>
        <w:fldChar w:fldCharType="end"/>
      </w:r>
      <w:bookmarkEnd w:id="4"/>
      <w:r>
        <w:t>.</w:t>
      </w:r>
      <w:r w:rsidR="00C20730">
        <w:t xml:space="preserve"> Effort levels from the 2024 fishing season and interim effort limits across managed catchment areas.</w:t>
      </w:r>
    </w:p>
    <w:p w14:paraId="6C413CBF" w14:textId="77777777" w:rsidR="00B967B2" w:rsidRDefault="00B967B2">
      <w:pPr>
        <w:rPr>
          <w:rFonts w:ascii="Lato Semibold" w:eastAsia="Times New Roman" w:hAnsi="Lato Semibold"/>
          <w:color w:val="1F1F5F"/>
          <w:kern w:val="32"/>
          <w:sz w:val="36"/>
          <w:szCs w:val="32"/>
        </w:rPr>
      </w:pPr>
      <w:r>
        <w:br w:type="page"/>
      </w:r>
    </w:p>
    <w:p w14:paraId="1CD2993A" w14:textId="5AC254EF" w:rsidR="00FB59F4" w:rsidRPr="00FB59F4" w:rsidRDefault="00FB59F4" w:rsidP="007742D7">
      <w:pPr>
        <w:pStyle w:val="Heading1"/>
        <w:spacing w:after="120"/>
      </w:pPr>
      <w:r w:rsidRPr="00FB59F4">
        <w:lastRenderedPageBreak/>
        <w:t>Catch per Unit of Effort</w:t>
      </w:r>
    </w:p>
    <w:p w14:paraId="219E218D" w14:textId="0199F535" w:rsidR="00E218F0" w:rsidRDefault="004C014A" w:rsidP="00F80D80">
      <w:pPr>
        <w:shd w:val="clear" w:color="auto" w:fill="FFFFFF" w:themeFill="background1"/>
        <w:jc w:val="both"/>
        <w:rPr>
          <w:rFonts w:asciiTheme="minorHAnsi" w:eastAsia="Times New Roman" w:hAnsiTheme="minorHAnsi"/>
        </w:rPr>
      </w:pPr>
      <w:r w:rsidRPr="009E45A7">
        <w:rPr>
          <w:rFonts w:asciiTheme="minorHAnsi" w:eastAsia="Times New Roman" w:hAnsiTheme="minorHAnsi"/>
        </w:rPr>
        <w:t>Catch per Unit Effort (CPUE) is based on total catch</w:t>
      </w:r>
      <w:r w:rsidR="009A546E">
        <w:rPr>
          <w:rFonts w:asciiTheme="minorHAnsi" w:eastAsia="Times New Roman" w:hAnsiTheme="minorHAnsi"/>
        </w:rPr>
        <w:t xml:space="preserve"> (kgs</w:t>
      </w:r>
      <w:r w:rsidR="00431359">
        <w:rPr>
          <w:rFonts w:asciiTheme="minorHAnsi" w:eastAsia="Times New Roman" w:hAnsiTheme="minorHAnsi"/>
        </w:rPr>
        <w:t>)</w:t>
      </w:r>
      <w:r w:rsidRPr="009E45A7">
        <w:rPr>
          <w:rFonts w:asciiTheme="minorHAnsi" w:eastAsia="Times New Roman" w:hAnsiTheme="minorHAnsi"/>
        </w:rPr>
        <w:t xml:space="preserve"> divided by </w:t>
      </w:r>
      <w:r w:rsidR="007D73B3">
        <w:rPr>
          <w:rFonts w:asciiTheme="minorHAnsi" w:eastAsia="Times New Roman" w:hAnsiTheme="minorHAnsi"/>
        </w:rPr>
        <w:t>fishing effort (</w:t>
      </w:r>
      <w:r w:rsidRPr="009E45A7">
        <w:rPr>
          <w:rFonts w:asciiTheme="minorHAnsi" w:eastAsia="Times New Roman" w:hAnsiTheme="minorHAnsi"/>
        </w:rPr>
        <w:t>HMND</w:t>
      </w:r>
      <w:r w:rsidR="007D73B3">
        <w:rPr>
          <w:rFonts w:asciiTheme="minorHAnsi" w:eastAsia="Times New Roman" w:hAnsiTheme="minorHAnsi"/>
        </w:rPr>
        <w:t>)</w:t>
      </w:r>
      <w:r w:rsidRPr="009E45A7">
        <w:rPr>
          <w:rFonts w:asciiTheme="minorHAnsi" w:eastAsia="Times New Roman" w:hAnsiTheme="minorHAnsi"/>
        </w:rPr>
        <w:t xml:space="preserve">. </w:t>
      </w:r>
      <w:r w:rsidR="001563E1" w:rsidRPr="009E45A7">
        <w:rPr>
          <w:rFonts w:asciiTheme="minorHAnsi" w:eastAsia="Times New Roman" w:hAnsiTheme="minorHAnsi"/>
        </w:rPr>
        <w:t>The CPUE was above the target</w:t>
      </w:r>
      <w:r w:rsidR="00CA65E1">
        <w:rPr>
          <w:rFonts w:asciiTheme="minorHAnsi" w:eastAsia="Times New Roman" w:hAnsiTheme="minorHAnsi"/>
        </w:rPr>
        <w:t xml:space="preserve"> reference point (RP)</w:t>
      </w:r>
      <w:r w:rsidR="001563E1" w:rsidRPr="009E45A7">
        <w:rPr>
          <w:rFonts w:asciiTheme="minorHAnsi" w:eastAsia="Times New Roman" w:hAnsiTheme="minorHAnsi"/>
        </w:rPr>
        <w:t xml:space="preserve"> for each of the </w:t>
      </w:r>
      <w:r w:rsidR="001563E1">
        <w:rPr>
          <w:rFonts w:asciiTheme="minorHAnsi" w:eastAsia="Times New Roman" w:hAnsiTheme="minorHAnsi"/>
        </w:rPr>
        <w:t>spat</w:t>
      </w:r>
      <w:r w:rsidR="001563E1">
        <w:t xml:space="preserve">ial management areas for Barramundi and King Threadfin </w:t>
      </w:r>
      <w:r w:rsidR="001563E1">
        <w:rPr>
          <w:rFonts w:asciiTheme="minorHAnsi" w:eastAsia="Times New Roman" w:hAnsiTheme="minorHAnsi"/>
        </w:rPr>
        <w:t>outlined in</w:t>
      </w:r>
      <w:r w:rsidR="001563E1" w:rsidRPr="009E45A7">
        <w:rPr>
          <w:rFonts w:asciiTheme="minorHAnsi" w:eastAsia="Times New Roman" w:hAnsiTheme="minorHAnsi"/>
        </w:rPr>
        <w:t xml:space="preserve"> the Harvest Strategy</w:t>
      </w:r>
      <w:r w:rsidR="00CA65E1">
        <w:rPr>
          <w:rFonts w:asciiTheme="minorHAnsi" w:eastAsia="Times New Roman" w:hAnsiTheme="minorHAnsi"/>
        </w:rPr>
        <w:t xml:space="preserve">. </w:t>
      </w:r>
      <w:r w:rsidR="001563E1" w:rsidRPr="009E45A7">
        <w:rPr>
          <w:rFonts w:asciiTheme="minorHAnsi" w:eastAsia="Times New Roman" w:hAnsiTheme="minorHAnsi"/>
        </w:rPr>
        <w:t xml:space="preserve">High CPUE in the fishery for the 2024 season </w:t>
      </w:r>
      <w:r w:rsidR="00656C31">
        <w:rPr>
          <w:rFonts w:asciiTheme="minorHAnsi" w:eastAsia="Times New Roman" w:hAnsiTheme="minorHAnsi"/>
        </w:rPr>
        <w:t xml:space="preserve">indicates stocks are healthy and </w:t>
      </w:r>
      <w:r w:rsidR="001563E1" w:rsidRPr="009E45A7">
        <w:rPr>
          <w:rFonts w:asciiTheme="minorHAnsi" w:eastAsia="Times New Roman" w:hAnsiTheme="minorHAnsi"/>
        </w:rPr>
        <w:t>is likely driven by strong rainfall during the previous wet season.</w:t>
      </w:r>
    </w:p>
    <w:p w14:paraId="08FEF38B" w14:textId="09272F52" w:rsidR="00CA65E1" w:rsidRDefault="00CA65E1" w:rsidP="007742D7">
      <w:pPr>
        <w:pStyle w:val="Caption"/>
        <w:keepNext/>
        <w:spacing w:after="120"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. Commercial CPUE for Barramundi in the 2024 </w:t>
      </w:r>
      <w:r w:rsidRPr="008078A0">
        <w:rPr>
          <w:szCs w:val="20"/>
        </w:rPr>
        <w:t>fishing season</w:t>
      </w:r>
      <w:r w:rsidR="007742D7" w:rsidRPr="008078A0">
        <w:rPr>
          <w:sz w:val="18"/>
          <w:szCs w:val="16"/>
        </w:rPr>
        <w:t xml:space="preserve"> (* </w:t>
      </w:r>
      <w:r w:rsidR="008078A0">
        <w:rPr>
          <w:sz w:val="18"/>
          <w:szCs w:val="16"/>
        </w:rPr>
        <w:t xml:space="preserve">very low of </w:t>
      </w:r>
      <w:r w:rsidR="007742D7" w:rsidRPr="008078A0">
        <w:rPr>
          <w:sz w:val="18"/>
          <w:szCs w:val="16"/>
        </w:rPr>
        <w:t>effort)</w:t>
      </w:r>
      <w:r w:rsidR="007742D7">
        <w:t>.</w:t>
      </w:r>
    </w:p>
    <w:tbl>
      <w:tblPr>
        <w:tblStyle w:val="NTGmeetingagendatable"/>
        <w:tblW w:w="0" w:type="auto"/>
        <w:tblLook w:val="04A0" w:firstRow="1" w:lastRow="0" w:firstColumn="1" w:lastColumn="0" w:noHBand="0" w:noVBand="1"/>
      </w:tblPr>
      <w:tblGrid>
        <w:gridCol w:w="1838"/>
        <w:gridCol w:w="2117"/>
        <w:gridCol w:w="2118"/>
        <w:gridCol w:w="2117"/>
        <w:gridCol w:w="2118"/>
      </w:tblGrid>
      <w:tr w:rsidR="005325F6" w14:paraId="055BE079" w14:textId="77777777" w:rsidTr="00CA65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06074F8" w14:textId="1B8BCE4F" w:rsidR="005325F6" w:rsidRDefault="005325F6" w:rsidP="00F80D80">
            <w:pPr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Catchment</w:t>
            </w:r>
          </w:p>
        </w:tc>
        <w:tc>
          <w:tcPr>
            <w:tcW w:w="2117" w:type="dxa"/>
          </w:tcPr>
          <w:p w14:paraId="1F741CB2" w14:textId="2C9C11EB" w:rsidR="005325F6" w:rsidRDefault="005325F6" w:rsidP="005325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Daly River/ Anson Bay</w:t>
            </w:r>
          </w:p>
        </w:tc>
        <w:tc>
          <w:tcPr>
            <w:tcW w:w="2118" w:type="dxa"/>
          </w:tcPr>
          <w:p w14:paraId="447DA0E5" w14:textId="385D6734" w:rsidR="005325F6" w:rsidRDefault="005325F6" w:rsidP="005325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Mini mini/</w:t>
            </w:r>
            <w:r w:rsidR="00ED6E50">
              <w:rPr>
                <w:rFonts w:asciiTheme="minorHAnsi" w:eastAsia="Times New Roman" w:hAnsiTheme="minorHAnsi"/>
              </w:rPr>
              <w:t xml:space="preserve"> </w:t>
            </w:r>
            <w:r>
              <w:rPr>
                <w:rFonts w:asciiTheme="minorHAnsi" w:eastAsia="Times New Roman" w:hAnsiTheme="minorHAnsi"/>
              </w:rPr>
              <w:t>Alligator Rivers</w:t>
            </w:r>
          </w:p>
        </w:tc>
        <w:tc>
          <w:tcPr>
            <w:tcW w:w="2117" w:type="dxa"/>
          </w:tcPr>
          <w:p w14:paraId="22924EEE" w14:textId="4D53A07C" w:rsidR="005325F6" w:rsidRDefault="005325F6" w:rsidP="005325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Buckingham/ Arnhem Bay</w:t>
            </w:r>
          </w:p>
        </w:tc>
        <w:tc>
          <w:tcPr>
            <w:tcW w:w="2118" w:type="dxa"/>
          </w:tcPr>
          <w:p w14:paraId="61EABCDA" w14:textId="3D8BFD1B" w:rsidR="005325F6" w:rsidRDefault="005325F6" w:rsidP="005325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Roper River</w:t>
            </w:r>
          </w:p>
        </w:tc>
      </w:tr>
      <w:tr w:rsidR="005325F6" w:rsidRPr="00367820" w14:paraId="1C0161F2" w14:textId="77777777" w:rsidTr="00CA65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0BF3D4D" w14:textId="6BD92F6F" w:rsidR="005325F6" w:rsidRPr="00367820" w:rsidRDefault="005325F6" w:rsidP="00F80D80">
            <w:pPr>
              <w:jc w:val="both"/>
              <w:rPr>
                <w:rFonts w:asciiTheme="minorHAnsi" w:eastAsia="Times New Roman" w:hAnsiTheme="minorHAnsi"/>
              </w:rPr>
            </w:pPr>
            <w:r w:rsidRPr="00367820">
              <w:rPr>
                <w:rFonts w:asciiTheme="minorHAnsi" w:eastAsia="Times New Roman" w:hAnsiTheme="minorHAnsi"/>
              </w:rPr>
              <w:t>CPUE</w:t>
            </w:r>
            <w:r w:rsidR="00CA65E1" w:rsidRPr="00367820">
              <w:rPr>
                <w:rFonts w:asciiTheme="minorHAnsi" w:eastAsia="Times New Roman" w:hAnsiTheme="minorHAnsi"/>
              </w:rPr>
              <w:t xml:space="preserve"> (kg/HMND)</w:t>
            </w:r>
          </w:p>
        </w:tc>
        <w:tc>
          <w:tcPr>
            <w:tcW w:w="2117" w:type="dxa"/>
          </w:tcPr>
          <w:p w14:paraId="339F876B" w14:textId="55484CA3" w:rsidR="005325F6" w:rsidRPr="00367820" w:rsidRDefault="0074619E" w:rsidP="00347D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</w:rPr>
            </w:pPr>
            <w:r w:rsidRPr="00367820">
              <w:rPr>
                <w:rFonts w:asciiTheme="minorHAnsi" w:eastAsia="Times New Roman" w:hAnsiTheme="minorHAnsi"/>
              </w:rPr>
              <w:t>19.02</w:t>
            </w:r>
          </w:p>
        </w:tc>
        <w:tc>
          <w:tcPr>
            <w:tcW w:w="2118" w:type="dxa"/>
          </w:tcPr>
          <w:p w14:paraId="0A1AE28D" w14:textId="41DED3D3" w:rsidR="005325F6" w:rsidRPr="00367820" w:rsidRDefault="0074619E" w:rsidP="00347D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</w:rPr>
            </w:pPr>
            <w:r w:rsidRPr="00367820">
              <w:rPr>
                <w:rFonts w:asciiTheme="minorHAnsi" w:eastAsia="Times New Roman" w:hAnsiTheme="minorHAnsi"/>
              </w:rPr>
              <w:t>39.13</w:t>
            </w:r>
          </w:p>
        </w:tc>
        <w:tc>
          <w:tcPr>
            <w:tcW w:w="2117" w:type="dxa"/>
          </w:tcPr>
          <w:p w14:paraId="4471E40F" w14:textId="504D1881" w:rsidR="005325F6" w:rsidRPr="00367820" w:rsidRDefault="008078A0" w:rsidP="00347D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40.9</w:t>
            </w:r>
            <w:r w:rsidR="007742D7">
              <w:rPr>
                <w:rFonts w:asciiTheme="minorHAnsi" w:eastAsia="Times New Roman" w:hAnsiTheme="minorHAnsi"/>
              </w:rPr>
              <w:t>*</w:t>
            </w:r>
          </w:p>
        </w:tc>
        <w:tc>
          <w:tcPr>
            <w:tcW w:w="2118" w:type="dxa"/>
          </w:tcPr>
          <w:p w14:paraId="6046ED10" w14:textId="4610FF51" w:rsidR="005325F6" w:rsidRPr="00367820" w:rsidRDefault="00367820" w:rsidP="00347D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</w:rPr>
            </w:pPr>
            <w:r w:rsidRPr="00367820">
              <w:rPr>
                <w:rFonts w:asciiTheme="minorHAnsi" w:eastAsia="Times New Roman" w:hAnsiTheme="minorHAnsi"/>
              </w:rPr>
              <w:t>40.40</w:t>
            </w:r>
          </w:p>
        </w:tc>
      </w:tr>
      <w:tr w:rsidR="005325F6" w:rsidRPr="00367820" w14:paraId="4418C3E9" w14:textId="77777777" w:rsidTr="00CA65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C17404D" w14:textId="2629F496" w:rsidR="005325F6" w:rsidRPr="00367820" w:rsidRDefault="005325F6" w:rsidP="00F80D80">
            <w:pPr>
              <w:jc w:val="both"/>
              <w:rPr>
                <w:rFonts w:asciiTheme="minorHAnsi" w:eastAsia="Times New Roman" w:hAnsiTheme="minorHAnsi"/>
              </w:rPr>
            </w:pPr>
            <w:r w:rsidRPr="00367820">
              <w:rPr>
                <w:rFonts w:asciiTheme="minorHAnsi" w:eastAsia="Times New Roman" w:hAnsiTheme="minorHAnsi"/>
              </w:rPr>
              <w:t>Target RP</w:t>
            </w:r>
          </w:p>
        </w:tc>
        <w:tc>
          <w:tcPr>
            <w:tcW w:w="2117" w:type="dxa"/>
          </w:tcPr>
          <w:p w14:paraId="230ABD70" w14:textId="65564792" w:rsidR="005325F6" w:rsidRPr="00367820" w:rsidRDefault="00CA65E1" w:rsidP="00347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/>
              </w:rPr>
            </w:pPr>
            <w:r w:rsidRPr="00367820">
              <w:rPr>
                <w:rFonts w:asciiTheme="minorHAnsi" w:eastAsia="Times New Roman" w:hAnsiTheme="minorHAnsi"/>
              </w:rPr>
              <w:t>18.79</w:t>
            </w:r>
          </w:p>
        </w:tc>
        <w:tc>
          <w:tcPr>
            <w:tcW w:w="2118" w:type="dxa"/>
          </w:tcPr>
          <w:p w14:paraId="6E124814" w14:textId="7FC09D5C" w:rsidR="005325F6" w:rsidRPr="00367820" w:rsidRDefault="00CA65E1" w:rsidP="00347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/>
              </w:rPr>
            </w:pPr>
            <w:r w:rsidRPr="00367820">
              <w:rPr>
                <w:rFonts w:asciiTheme="minorHAnsi" w:eastAsia="Times New Roman" w:hAnsiTheme="minorHAnsi"/>
              </w:rPr>
              <w:t>19.26</w:t>
            </w:r>
          </w:p>
        </w:tc>
        <w:tc>
          <w:tcPr>
            <w:tcW w:w="2117" w:type="dxa"/>
          </w:tcPr>
          <w:p w14:paraId="4E6411AA" w14:textId="68F4B79D" w:rsidR="005325F6" w:rsidRPr="00367820" w:rsidRDefault="00CA65E1" w:rsidP="00347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/>
              </w:rPr>
            </w:pPr>
            <w:r w:rsidRPr="00367820">
              <w:rPr>
                <w:rFonts w:asciiTheme="minorHAnsi" w:eastAsia="Times New Roman" w:hAnsiTheme="minorHAnsi"/>
              </w:rPr>
              <w:t>22.53</w:t>
            </w:r>
          </w:p>
        </w:tc>
        <w:tc>
          <w:tcPr>
            <w:tcW w:w="2118" w:type="dxa"/>
          </w:tcPr>
          <w:p w14:paraId="70067DE6" w14:textId="32C19416" w:rsidR="005325F6" w:rsidRPr="00367820" w:rsidRDefault="00CA65E1" w:rsidP="00347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/>
              </w:rPr>
            </w:pPr>
            <w:r w:rsidRPr="00367820">
              <w:rPr>
                <w:rFonts w:asciiTheme="minorHAnsi" w:eastAsia="Times New Roman" w:hAnsiTheme="minorHAnsi"/>
              </w:rPr>
              <w:t>24.36</w:t>
            </w:r>
          </w:p>
        </w:tc>
      </w:tr>
      <w:tr w:rsidR="005325F6" w:rsidRPr="00367820" w14:paraId="567EDE20" w14:textId="77777777" w:rsidTr="00CA65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F1973B2" w14:textId="131FA968" w:rsidR="005325F6" w:rsidRPr="00367820" w:rsidRDefault="005325F6" w:rsidP="00F80D80">
            <w:pPr>
              <w:jc w:val="both"/>
              <w:rPr>
                <w:rFonts w:asciiTheme="minorHAnsi" w:eastAsia="Times New Roman" w:hAnsiTheme="minorHAnsi"/>
              </w:rPr>
            </w:pPr>
            <w:r w:rsidRPr="00367820">
              <w:rPr>
                <w:rFonts w:asciiTheme="minorHAnsi" w:eastAsia="Times New Roman" w:hAnsiTheme="minorHAnsi"/>
              </w:rPr>
              <w:t>Trigger</w:t>
            </w:r>
            <w:r w:rsidR="00CA65E1" w:rsidRPr="00367820">
              <w:rPr>
                <w:rFonts w:asciiTheme="minorHAnsi" w:eastAsia="Times New Roman" w:hAnsiTheme="minorHAnsi"/>
              </w:rPr>
              <w:t xml:space="preserve"> RP</w:t>
            </w:r>
          </w:p>
        </w:tc>
        <w:tc>
          <w:tcPr>
            <w:tcW w:w="2117" w:type="dxa"/>
          </w:tcPr>
          <w:p w14:paraId="6E784F99" w14:textId="71BFB4F4" w:rsidR="005325F6" w:rsidRPr="00367820" w:rsidRDefault="00CA65E1" w:rsidP="00347D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</w:rPr>
            </w:pPr>
            <w:r w:rsidRPr="00367820">
              <w:rPr>
                <w:rFonts w:asciiTheme="minorHAnsi" w:eastAsia="Times New Roman" w:hAnsiTheme="minorHAnsi"/>
              </w:rPr>
              <w:t>14.09</w:t>
            </w:r>
          </w:p>
        </w:tc>
        <w:tc>
          <w:tcPr>
            <w:tcW w:w="2118" w:type="dxa"/>
          </w:tcPr>
          <w:p w14:paraId="18929BEB" w14:textId="07CE65B1" w:rsidR="005325F6" w:rsidRPr="00367820" w:rsidRDefault="00CA65E1" w:rsidP="00347D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</w:rPr>
            </w:pPr>
            <w:r w:rsidRPr="00367820">
              <w:rPr>
                <w:rFonts w:asciiTheme="minorHAnsi" w:eastAsia="Times New Roman" w:hAnsiTheme="minorHAnsi"/>
              </w:rPr>
              <w:t>14.44</w:t>
            </w:r>
          </w:p>
        </w:tc>
        <w:tc>
          <w:tcPr>
            <w:tcW w:w="2117" w:type="dxa"/>
          </w:tcPr>
          <w:p w14:paraId="4B74393F" w14:textId="58D8B43E" w:rsidR="005325F6" w:rsidRPr="00367820" w:rsidRDefault="00CA65E1" w:rsidP="00347D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</w:rPr>
            </w:pPr>
            <w:r w:rsidRPr="00367820">
              <w:rPr>
                <w:rFonts w:asciiTheme="minorHAnsi" w:eastAsia="Times New Roman" w:hAnsiTheme="minorHAnsi"/>
              </w:rPr>
              <w:t>16.90</w:t>
            </w:r>
          </w:p>
        </w:tc>
        <w:tc>
          <w:tcPr>
            <w:tcW w:w="2118" w:type="dxa"/>
          </w:tcPr>
          <w:p w14:paraId="44C50C8A" w14:textId="624C0105" w:rsidR="005325F6" w:rsidRPr="00367820" w:rsidRDefault="00CA65E1" w:rsidP="00347D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</w:rPr>
            </w:pPr>
            <w:r w:rsidRPr="00367820">
              <w:rPr>
                <w:rFonts w:asciiTheme="minorHAnsi" w:eastAsia="Times New Roman" w:hAnsiTheme="minorHAnsi"/>
              </w:rPr>
              <w:t>18.27</w:t>
            </w:r>
          </w:p>
        </w:tc>
      </w:tr>
      <w:tr w:rsidR="005325F6" w:rsidRPr="00367820" w14:paraId="1A081050" w14:textId="77777777" w:rsidTr="00CA65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920AB5C" w14:textId="0B8E9439" w:rsidR="005325F6" w:rsidRPr="00367820" w:rsidRDefault="005325F6" w:rsidP="00F80D80">
            <w:pPr>
              <w:jc w:val="both"/>
              <w:rPr>
                <w:rFonts w:asciiTheme="minorHAnsi" w:eastAsia="Times New Roman" w:hAnsiTheme="minorHAnsi"/>
              </w:rPr>
            </w:pPr>
            <w:r w:rsidRPr="00367820">
              <w:rPr>
                <w:rFonts w:asciiTheme="minorHAnsi" w:eastAsia="Times New Roman" w:hAnsiTheme="minorHAnsi"/>
              </w:rPr>
              <w:t xml:space="preserve">Limit </w:t>
            </w:r>
            <w:r w:rsidR="00CA65E1" w:rsidRPr="00367820">
              <w:rPr>
                <w:rFonts w:asciiTheme="minorHAnsi" w:eastAsia="Times New Roman" w:hAnsiTheme="minorHAnsi"/>
              </w:rPr>
              <w:t>RP</w:t>
            </w:r>
          </w:p>
        </w:tc>
        <w:tc>
          <w:tcPr>
            <w:tcW w:w="2117" w:type="dxa"/>
          </w:tcPr>
          <w:p w14:paraId="755AD511" w14:textId="3CBF444E" w:rsidR="005325F6" w:rsidRPr="00367820" w:rsidRDefault="00CA65E1" w:rsidP="00347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/>
              </w:rPr>
            </w:pPr>
            <w:r w:rsidRPr="00367820">
              <w:rPr>
                <w:rFonts w:asciiTheme="minorHAnsi" w:eastAsia="Times New Roman" w:hAnsiTheme="minorHAnsi"/>
              </w:rPr>
              <w:t>9.39</w:t>
            </w:r>
          </w:p>
        </w:tc>
        <w:tc>
          <w:tcPr>
            <w:tcW w:w="2118" w:type="dxa"/>
          </w:tcPr>
          <w:p w14:paraId="38ACD5B4" w14:textId="6886E028" w:rsidR="005325F6" w:rsidRPr="00367820" w:rsidRDefault="00CA65E1" w:rsidP="00347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/>
              </w:rPr>
            </w:pPr>
            <w:r w:rsidRPr="00367820">
              <w:rPr>
                <w:rFonts w:asciiTheme="minorHAnsi" w:eastAsia="Times New Roman" w:hAnsiTheme="minorHAnsi"/>
              </w:rPr>
              <w:t>9.63</w:t>
            </w:r>
          </w:p>
        </w:tc>
        <w:tc>
          <w:tcPr>
            <w:tcW w:w="2117" w:type="dxa"/>
          </w:tcPr>
          <w:p w14:paraId="598F1CDA" w14:textId="7D9EB0A3" w:rsidR="005325F6" w:rsidRPr="00367820" w:rsidRDefault="00CA65E1" w:rsidP="00347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/>
              </w:rPr>
            </w:pPr>
            <w:r w:rsidRPr="00367820">
              <w:rPr>
                <w:rFonts w:asciiTheme="minorHAnsi" w:eastAsia="Times New Roman" w:hAnsiTheme="minorHAnsi"/>
              </w:rPr>
              <w:t>11.23</w:t>
            </w:r>
          </w:p>
        </w:tc>
        <w:tc>
          <w:tcPr>
            <w:tcW w:w="2118" w:type="dxa"/>
          </w:tcPr>
          <w:p w14:paraId="6252B574" w14:textId="078D8F63" w:rsidR="005325F6" w:rsidRPr="00367820" w:rsidRDefault="00CA65E1" w:rsidP="00347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/>
              </w:rPr>
            </w:pPr>
            <w:r w:rsidRPr="00367820">
              <w:rPr>
                <w:rFonts w:asciiTheme="minorHAnsi" w:eastAsia="Times New Roman" w:hAnsiTheme="minorHAnsi"/>
              </w:rPr>
              <w:t>12.18</w:t>
            </w:r>
          </w:p>
        </w:tc>
      </w:tr>
    </w:tbl>
    <w:p w14:paraId="205C2959" w14:textId="64F0C2D1" w:rsidR="00CA65E1" w:rsidRPr="00367820" w:rsidRDefault="00CA65E1" w:rsidP="007742D7">
      <w:pPr>
        <w:pStyle w:val="Caption"/>
        <w:keepNext/>
        <w:spacing w:before="240" w:after="120"/>
      </w:pPr>
      <w:r w:rsidRPr="00367820">
        <w:t xml:space="preserve">Table </w:t>
      </w:r>
      <w:r w:rsidRPr="00367820">
        <w:fldChar w:fldCharType="begin"/>
      </w:r>
      <w:r w:rsidRPr="00367820">
        <w:instrText xml:space="preserve"> SEQ Table \* ARABIC </w:instrText>
      </w:r>
      <w:r w:rsidRPr="00367820">
        <w:fldChar w:fldCharType="separate"/>
      </w:r>
      <w:r w:rsidRPr="00367820">
        <w:rPr>
          <w:noProof/>
        </w:rPr>
        <w:t>2</w:t>
      </w:r>
      <w:r w:rsidRPr="00367820">
        <w:fldChar w:fldCharType="end"/>
      </w:r>
      <w:r w:rsidRPr="00367820">
        <w:t>. Commercial CPUE for King Thread</w:t>
      </w:r>
      <w:r w:rsidR="00431359">
        <w:t>fin</w:t>
      </w:r>
      <w:r w:rsidRPr="00367820">
        <w:t xml:space="preserve"> in the 2024 fishing season</w:t>
      </w:r>
      <w:r w:rsidR="007742D7">
        <w:t xml:space="preserve"> </w:t>
      </w:r>
      <w:r w:rsidR="008078A0" w:rsidRPr="008078A0">
        <w:rPr>
          <w:sz w:val="18"/>
          <w:szCs w:val="16"/>
        </w:rPr>
        <w:t xml:space="preserve">(* </w:t>
      </w:r>
      <w:r w:rsidR="008078A0">
        <w:rPr>
          <w:sz w:val="18"/>
          <w:szCs w:val="16"/>
        </w:rPr>
        <w:t xml:space="preserve">very low of </w:t>
      </w:r>
      <w:r w:rsidR="008078A0" w:rsidRPr="008078A0">
        <w:rPr>
          <w:sz w:val="18"/>
          <w:szCs w:val="16"/>
        </w:rPr>
        <w:t>effort)</w:t>
      </w:r>
      <w:r w:rsidR="007742D7">
        <w:t>.</w:t>
      </w:r>
    </w:p>
    <w:tbl>
      <w:tblPr>
        <w:tblStyle w:val="NTGmeetingagendatable"/>
        <w:tblW w:w="0" w:type="auto"/>
        <w:tblLook w:val="04A0" w:firstRow="1" w:lastRow="0" w:firstColumn="1" w:lastColumn="0" w:noHBand="0" w:noVBand="1"/>
      </w:tblPr>
      <w:tblGrid>
        <w:gridCol w:w="1838"/>
        <w:gridCol w:w="2117"/>
        <w:gridCol w:w="2118"/>
        <w:gridCol w:w="2117"/>
        <w:gridCol w:w="2118"/>
      </w:tblGrid>
      <w:tr w:rsidR="00CA65E1" w:rsidRPr="00367820" w14:paraId="65893080" w14:textId="77777777" w:rsidTr="00FB71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D6E71F3" w14:textId="77777777" w:rsidR="00CA65E1" w:rsidRPr="00367820" w:rsidRDefault="00CA65E1" w:rsidP="00FB71CC">
            <w:pPr>
              <w:jc w:val="both"/>
              <w:rPr>
                <w:rFonts w:asciiTheme="minorHAnsi" w:eastAsia="Times New Roman" w:hAnsiTheme="minorHAnsi"/>
              </w:rPr>
            </w:pPr>
            <w:r w:rsidRPr="00367820">
              <w:rPr>
                <w:rFonts w:asciiTheme="minorHAnsi" w:eastAsia="Times New Roman" w:hAnsiTheme="minorHAnsi"/>
              </w:rPr>
              <w:t>Catchment</w:t>
            </w:r>
          </w:p>
        </w:tc>
        <w:tc>
          <w:tcPr>
            <w:tcW w:w="2117" w:type="dxa"/>
          </w:tcPr>
          <w:p w14:paraId="0041F052" w14:textId="77777777" w:rsidR="007742D7" w:rsidRDefault="00CA65E1" w:rsidP="00FB71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 w:val="0"/>
              </w:rPr>
            </w:pPr>
            <w:r w:rsidRPr="00367820">
              <w:rPr>
                <w:rFonts w:asciiTheme="minorHAnsi" w:eastAsia="Times New Roman" w:hAnsiTheme="minorHAnsi"/>
              </w:rPr>
              <w:t>Daly River</w:t>
            </w:r>
            <w:r w:rsidR="007742D7">
              <w:rPr>
                <w:rFonts w:asciiTheme="minorHAnsi" w:eastAsia="Times New Roman" w:hAnsiTheme="minorHAnsi"/>
              </w:rPr>
              <w:t xml:space="preserve"> </w:t>
            </w:r>
            <w:r w:rsidRPr="00367820">
              <w:rPr>
                <w:rFonts w:asciiTheme="minorHAnsi" w:eastAsia="Times New Roman" w:hAnsiTheme="minorHAnsi"/>
              </w:rPr>
              <w:t xml:space="preserve">/ </w:t>
            </w:r>
          </w:p>
          <w:p w14:paraId="11166367" w14:textId="050A894D" w:rsidR="00CA65E1" w:rsidRPr="00367820" w:rsidRDefault="00CA65E1" w:rsidP="00FB71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</w:rPr>
            </w:pPr>
            <w:r w:rsidRPr="00367820">
              <w:rPr>
                <w:rFonts w:asciiTheme="minorHAnsi" w:eastAsia="Times New Roman" w:hAnsiTheme="minorHAnsi"/>
              </w:rPr>
              <w:t>Anson Bay</w:t>
            </w:r>
          </w:p>
        </w:tc>
        <w:tc>
          <w:tcPr>
            <w:tcW w:w="2118" w:type="dxa"/>
          </w:tcPr>
          <w:p w14:paraId="22F01E17" w14:textId="724D0D54" w:rsidR="00CA65E1" w:rsidRPr="00367820" w:rsidRDefault="00CA65E1" w:rsidP="00FB71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</w:rPr>
            </w:pPr>
            <w:r w:rsidRPr="00367820">
              <w:rPr>
                <w:rFonts w:asciiTheme="minorHAnsi" w:eastAsia="Times New Roman" w:hAnsiTheme="minorHAnsi"/>
              </w:rPr>
              <w:t>Mini mini/</w:t>
            </w:r>
            <w:r w:rsidR="00ED6E50" w:rsidRPr="00367820">
              <w:rPr>
                <w:rFonts w:asciiTheme="minorHAnsi" w:eastAsia="Times New Roman" w:hAnsiTheme="minorHAnsi"/>
              </w:rPr>
              <w:t xml:space="preserve"> </w:t>
            </w:r>
            <w:r w:rsidRPr="00367820">
              <w:rPr>
                <w:rFonts w:asciiTheme="minorHAnsi" w:eastAsia="Times New Roman" w:hAnsiTheme="minorHAnsi"/>
              </w:rPr>
              <w:t>Alligator Rivers</w:t>
            </w:r>
          </w:p>
        </w:tc>
        <w:tc>
          <w:tcPr>
            <w:tcW w:w="2117" w:type="dxa"/>
          </w:tcPr>
          <w:p w14:paraId="70BF309E" w14:textId="77777777" w:rsidR="00CA65E1" w:rsidRPr="00367820" w:rsidRDefault="00CA65E1" w:rsidP="00FB71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</w:rPr>
            </w:pPr>
            <w:r w:rsidRPr="00367820">
              <w:rPr>
                <w:rFonts w:asciiTheme="minorHAnsi" w:eastAsia="Times New Roman" w:hAnsiTheme="minorHAnsi"/>
              </w:rPr>
              <w:t>Buckingham/ Arnhem Bay</w:t>
            </w:r>
          </w:p>
        </w:tc>
        <w:tc>
          <w:tcPr>
            <w:tcW w:w="2118" w:type="dxa"/>
          </w:tcPr>
          <w:p w14:paraId="71B91C8D" w14:textId="77777777" w:rsidR="00CA65E1" w:rsidRPr="00367820" w:rsidRDefault="00CA65E1" w:rsidP="00FB71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</w:rPr>
            </w:pPr>
            <w:r w:rsidRPr="00367820">
              <w:rPr>
                <w:rFonts w:asciiTheme="minorHAnsi" w:eastAsia="Times New Roman" w:hAnsiTheme="minorHAnsi"/>
              </w:rPr>
              <w:t>Roper River</w:t>
            </w:r>
          </w:p>
        </w:tc>
      </w:tr>
      <w:tr w:rsidR="00CA65E1" w14:paraId="6DE76EEA" w14:textId="77777777" w:rsidTr="00FB71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B169243" w14:textId="77777777" w:rsidR="00CA65E1" w:rsidRPr="00367820" w:rsidRDefault="00CA65E1" w:rsidP="00FB71CC">
            <w:pPr>
              <w:jc w:val="both"/>
              <w:rPr>
                <w:rFonts w:asciiTheme="minorHAnsi" w:eastAsia="Times New Roman" w:hAnsiTheme="minorHAnsi"/>
              </w:rPr>
            </w:pPr>
            <w:r w:rsidRPr="00367820">
              <w:rPr>
                <w:rFonts w:asciiTheme="minorHAnsi" w:eastAsia="Times New Roman" w:hAnsiTheme="minorHAnsi"/>
              </w:rPr>
              <w:t>CPUE (kg/HMND)</w:t>
            </w:r>
          </w:p>
        </w:tc>
        <w:tc>
          <w:tcPr>
            <w:tcW w:w="2117" w:type="dxa"/>
          </w:tcPr>
          <w:p w14:paraId="0BF60689" w14:textId="68FD2180" w:rsidR="00CA65E1" w:rsidRPr="00367820" w:rsidRDefault="0074619E" w:rsidP="00347D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</w:rPr>
            </w:pPr>
            <w:r w:rsidRPr="00367820">
              <w:rPr>
                <w:rFonts w:asciiTheme="minorHAnsi" w:eastAsia="Times New Roman" w:hAnsiTheme="minorHAnsi"/>
              </w:rPr>
              <w:t>17.66</w:t>
            </w:r>
          </w:p>
        </w:tc>
        <w:tc>
          <w:tcPr>
            <w:tcW w:w="2118" w:type="dxa"/>
          </w:tcPr>
          <w:p w14:paraId="78656259" w14:textId="34C4C778" w:rsidR="00CA65E1" w:rsidRPr="00367820" w:rsidRDefault="0074619E" w:rsidP="00347D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</w:rPr>
            </w:pPr>
            <w:r w:rsidRPr="00367820">
              <w:rPr>
                <w:rFonts w:asciiTheme="minorHAnsi" w:eastAsia="Times New Roman" w:hAnsiTheme="minorHAnsi"/>
              </w:rPr>
              <w:t>15.38</w:t>
            </w:r>
          </w:p>
        </w:tc>
        <w:tc>
          <w:tcPr>
            <w:tcW w:w="2117" w:type="dxa"/>
          </w:tcPr>
          <w:p w14:paraId="647AF374" w14:textId="5C7D4789" w:rsidR="00CA65E1" w:rsidRPr="00367820" w:rsidRDefault="008078A0" w:rsidP="00347D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48.06*</w:t>
            </w:r>
          </w:p>
        </w:tc>
        <w:tc>
          <w:tcPr>
            <w:tcW w:w="2118" w:type="dxa"/>
          </w:tcPr>
          <w:p w14:paraId="5BDAA48C" w14:textId="37AA2049" w:rsidR="00CA65E1" w:rsidRPr="00367820" w:rsidRDefault="00367820" w:rsidP="00347D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</w:rPr>
            </w:pPr>
            <w:r w:rsidRPr="00367820">
              <w:rPr>
                <w:rFonts w:asciiTheme="minorHAnsi" w:eastAsia="Times New Roman" w:hAnsiTheme="minorHAnsi"/>
              </w:rPr>
              <w:t>23.52</w:t>
            </w:r>
          </w:p>
        </w:tc>
      </w:tr>
      <w:tr w:rsidR="00CA65E1" w14:paraId="63D7D5EA" w14:textId="77777777" w:rsidTr="00FB71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29701F7" w14:textId="77777777" w:rsidR="00CA65E1" w:rsidRDefault="00CA65E1" w:rsidP="00FB71CC">
            <w:pPr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Target RP</w:t>
            </w:r>
          </w:p>
        </w:tc>
        <w:tc>
          <w:tcPr>
            <w:tcW w:w="2117" w:type="dxa"/>
          </w:tcPr>
          <w:p w14:paraId="56333D6A" w14:textId="622A9D89" w:rsidR="00CA65E1" w:rsidRDefault="00CA65E1" w:rsidP="00347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12.16</w:t>
            </w:r>
          </w:p>
        </w:tc>
        <w:tc>
          <w:tcPr>
            <w:tcW w:w="2118" w:type="dxa"/>
          </w:tcPr>
          <w:p w14:paraId="06C7FFCD" w14:textId="4C61B3ED" w:rsidR="00CA65E1" w:rsidRDefault="00CA65E1" w:rsidP="00347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11.28</w:t>
            </w:r>
          </w:p>
        </w:tc>
        <w:tc>
          <w:tcPr>
            <w:tcW w:w="2117" w:type="dxa"/>
          </w:tcPr>
          <w:p w14:paraId="41AD0B5A" w14:textId="2EDC2E89" w:rsidR="00CA65E1" w:rsidRDefault="00CA65E1" w:rsidP="00347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18.28</w:t>
            </w:r>
          </w:p>
        </w:tc>
        <w:tc>
          <w:tcPr>
            <w:tcW w:w="2118" w:type="dxa"/>
          </w:tcPr>
          <w:p w14:paraId="26995829" w14:textId="3B907D6F" w:rsidR="00CA65E1" w:rsidRDefault="00CA65E1" w:rsidP="00347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11.30</w:t>
            </w:r>
          </w:p>
        </w:tc>
      </w:tr>
      <w:tr w:rsidR="00CA65E1" w14:paraId="4E8E1CF4" w14:textId="77777777" w:rsidTr="00FB71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A36549C" w14:textId="77777777" w:rsidR="00CA65E1" w:rsidRDefault="00CA65E1" w:rsidP="00FB71CC">
            <w:pPr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Trigger RP</w:t>
            </w:r>
          </w:p>
        </w:tc>
        <w:tc>
          <w:tcPr>
            <w:tcW w:w="2117" w:type="dxa"/>
          </w:tcPr>
          <w:p w14:paraId="4158E65F" w14:textId="53697D8D" w:rsidR="00CA65E1" w:rsidRDefault="00CA65E1" w:rsidP="00347D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9.12</w:t>
            </w:r>
          </w:p>
        </w:tc>
        <w:tc>
          <w:tcPr>
            <w:tcW w:w="2118" w:type="dxa"/>
          </w:tcPr>
          <w:p w14:paraId="0A8AB477" w14:textId="014D3166" w:rsidR="00CA65E1" w:rsidRDefault="00CA65E1" w:rsidP="00347D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8.46</w:t>
            </w:r>
          </w:p>
        </w:tc>
        <w:tc>
          <w:tcPr>
            <w:tcW w:w="2117" w:type="dxa"/>
          </w:tcPr>
          <w:p w14:paraId="0639E691" w14:textId="7B736D7E" w:rsidR="00CA65E1" w:rsidRDefault="00CA65E1" w:rsidP="00347D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13.71</w:t>
            </w:r>
          </w:p>
        </w:tc>
        <w:tc>
          <w:tcPr>
            <w:tcW w:w="2118" w:type="dxa"/>
          </w:tcPr>
          <w:p w14:paraId="764EF807" w14:textId="364F573F" w:rsidR="00CA65E1" w:rsidRDefault="00CA65E1" w:rsidP="00347D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8.48</w:t>
            </w:r>
          </w:p>
        </w:tc>
      </w:tr>
      <w:tr w:rsidR="00CA65E1" w14:paraId="68C301BD" w14:textId="77777777" w:rsidTr="00FB71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CF99295" w14:textId="77777777" w:rsidR="00CA65E1" w:rsidRDefault="00CA65E1" w:rsidP="00FB71CC">
            <w:pPr>
              <w:jc w:val="both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Limit RP</w:t>
            </w:r>
          </w:p>
        </w:tc>
        <w:tc>
          <w:tcPr>
            <w:tcW w:w="2117" w:type="dxa"/>
          </w:tcPr>
          <w:p w14:paraId="4D794514" w14:textId="32181EE6" w:rsidR="00CA65E1" w:rsidRDefault="00CA65E1" w:rsidP="00347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6.08</w:t>
            </w:r>
          </w:p>
        </w:tc>
        <w:tc>
          <w:tcPr>
            <w:tcW w:w="2118" w:type="dxa"/>
          </w:tcPr>
          <w:p w14:paraId="405C0022" w14:textId="16D2117E" w:rsidR="00CA65E1" w:rsidRDefault="00CA65E1" w:rsidP="00347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5.64</w:t>
            </w:r>
          </w:p>
        </w:tc>
        <w:tc>
          <w:tcPr>
            <w:tcW w:w="2117" w:type="dxa"/>
          </w:tcPr>
          <w:p w14:paraId="247DF976" w14:textId="73F97B27" w:rsidR="00CA65E1" w:rsidRDefault="00CA65E1" w:rsidP="00347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9.14</w:t>
            </w:r>
          </w:p>
        </w:tc>
        <w:tc>
          <w:tcPr>
            <w:tcW w:w="2118" w:type="dxa"/>
          </w:tcPr>
          <w:p w14:paraId="0FD7E6EE" w14:textId="73900428" w:rsidR="00CA65E1" w:rsidRDefault="00CA65E1" w:rsidP="00347D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5.65</w:t>
            </w:r>
          </w:p>
        </w:tc>
      </w:tr>
    </w:tbl>
    <w:p w14:paraId="7B4DED62" w14:textId="2D0DD391" w:rsidR="0055675D" w:rsidRDefault="0055675D" w:rsidP="007742D7">
      <w:pPr>
        <w:pStyle w:val="Heading1"/>
        <w:spacing w:after="120"/>
        <w:rPr>
          <w:sz w:val="32"/>
          <w:szCs w:val="28"/>
          <w:lang w:eastAsia="en-AU"/>
        </w:rPr>
      </w:pPr>
      <w:r>
        <w:rPr>
          <w:sz w:val="32"/>
          <w:szCs w:val="28"/>
          <w:lang w:eastAsia="en-AU"/>
        </w:rPr>
        <w:t>Interactions with Threatened Endangered and Protected Species (TEPS)</w:t>
      </w:r>
    </w:p>
    <w:p w14:paraId="1C0E74AE" w14:textId="39528DA4" w:rsidR="0055675D" w:rsidRPr="009E45A7" w:rsidRDefault="0055675D" w:rsidP="0055675D">
      <w:pPr>
        <w:shd w:val="clear" w:color="auto" w:fill="FFFFFF" w:themeFill="background1"/>
        <w:jc w:val="both"/>
        <w:rPr>
          <w:rFonts w:asciiTheme="minorHAnsi" w:hAnsiTheme="minorHAnsi"/>
          <w:lang w:eastAsia="en-AU"/>
        </w:rPr>
      </w:pPr>
      <w:r>
        <w:rPr>
          <w:rFonts w:asciiTheme="minorHAnsi" w:hAnsiTheme="minorHAnsi"/>
          <w:lang w:eastAsia="en-AU"/>
        </w:rPr>
        <w:t xml:space="preserve">The 2024 fishing season was the </w:t>
      </w:r>
      <w:r w:rsidR="00656C31">
        <w:rPr>
          <w:rFonts w:asciiTheme="minorHAnsi" w:hAnsiTheme="minorHAnsi"/>
          <w:lang w:eastAsia="en-AU"/>
        </w:rPr>
        <w:t>first-year</w:t>
      </w:r>
      <w:r>
        <w:rPr>
          <w:rFonts w:asciiTheme="minorHAnsi" w:hAnsiTheme="minorHAnsi"/>
          <w:lang w:eastAsia="en-AU"/>
        </w:rPr>
        <w:t xml:space="preserve"> commercial </w:t>
      </w:r>
      <w:r w:rsidR="0031250C">
        <w:rPr>
          <w:rFonts w:asciiTheme="minorHAnsi" w:hAnsiTheme="minorHAnsi"/>
          <w:lang w:eastAsia="en-AU"/>
        </w:rPr>
        <w:t xml:space="preserve">fishers operated </w:t>
      </w:r>
      <w:r>
        <w:rPr>
          <w:rFonts w:asciiTheme="minorHAnsi" w:hAnsiTheme="minorHAnsi"/>
          <w:lang w:eastAsia="en-AU"/>
        </w:rPr>
        <w:t xml:space="preserve">under the </w:t>
      </w:r>
      <w:r w:rsidRPr="009E45A7">
        <w:rPr>
          <w:rFonts w:asciiTheme="minorHAnsi" w:hAnsiTheme="minorHAnsi"/>
          <w:lang w:eastAsia="en-AU"/>
        </w:rPr>
        <w:t>Barramundi Fishery T</w:t>
      </w:r>
      <w:r>
        <w:rPr>
          <w:rFonts w:asciiTheme="minorHAnsi" w:hAnsiTheme="minorHAnsi"/>
          <w:lang w:eastAsia="en-AU"/>
        </w:rPr>
        <w:t xml:space="preserve">hreatened </w:t>
      </w:r>
      <w:r w:rsidRPr="009E45A7">
        <w:rPr>
          <w:rFonts w:asciiTheme="minorHAnsi" w:hAnsiTheme="minorHAnsi"/>
          <w:lang w:eastAsia="en-AU"/>
        </w:rPr>
        <w:t>E</w:t>
      </w:r>
      <w:r>
        <w:rPr>
          <w:rFonts w:asciiTheme="minorHAnsi" w:hAnsiTheme="minorHAnsi"/>
          <w:lang w:eastAsia="en-AU"/>
        </w:rPr>
        <w:t xml:space="preserve">ndangered and </w:t>
      </w:r>
      <w:r w:rsidRPr="009E45A7">
        <w:rPr>
          <w:rFonts w:asciiTheme="minorHAnsi" w:hAnsiTheme="minorHAnsi"/>
          <w:lang w:eastAsia="en-AU"/>
        </w:rPr>
        <w:t>P</w:t>
      </w:r>
      <w:r>
        <w:rPr>
          <w:rFonts w:asciiTheme="minorHAnsi" w:hAnsiTheme="minorHAnsi"/>
          <w:lang w:eastAsia="en-AU"/>
        </w:rPr>
        <w:t xml:space="preserve">rotected </w:t>
      </w:r>
      <w:r w:rsidRPr="009E45A7">
        <w:rPr>
          <w:rFonts w:asciiTheme="minorHAnsi" w:hAnsiTheme="minorHAnsi"/>
          <w:lang w:eastAsia="en-AU"/>
        </w:rPr>
        <w:t>S</w:t>
      </w:r>
      <w:r>
        <w:rPr>
          <w:rFonts w:asciiTheme="minorHAnsi" w:hAnsiTheme="minorHAnsi"/>
          <w:lang w:eastAsia="en-AU"/>
        </w:rPr>
        <w:t>pecies</w:t>
      </w:r>
      <w:r w:rsidRPr="009E45A7">
        <w:rPr>
          <w:rFonts w:asciiTheme="minorHAnsi" w:hAnsiTheme="minorHAnsi"/>
          <w:lang w:eastAsia="en-AU"/>
        </w:rPr>
        <w:t xml:space="preserve"> Strategy 2024-2029</w:t>
      </w:r>
      <w:r>
        <w:rPr>
          <w:rFonts w:asciiTheme="minorHAnsi" w:hAnsiTheme="minorHAnsi"/>
          <w:lang w:eastAsia="en-AU"/>
        </w:rPr>
        <w:t>.</w:t>
      </w:r>
      <w:r w:rsidRPr="009E45A7">
        <w:rPr>
          <w:rFonts w:asciiTheme="minorHAnsi" w:hAnsiTheme="minorHAnsi"/>
          <w:lang w:eastAsia="en-AU"/>
        </w:rPr>
        <w:t xml:space="preserve"> </w:t>
      </w:r>
      <w:r>
        <w:rPr>
          <w:rFonts w:asciiTheme="minorHAnsi" w:hAnsiTheme="minorHAnsi"/>
          <w:lang w:eastAsia="en-AU"/>
        </w:rPr>
        <w:t xml:space="preserve">Monthly monitoring of interactions </w:t>
      </w:r>
      <w:r w:rsidR="0031250C">
        <w:rPr>
          <w:rFonts w:asciiTheme="minorHAnsi" w:hAnsiTheme="minorHAnsi"/>
          <w:lang w:eastAsia="en-AU"/>
        </w:rPr>
        <w:t>across the catchments detected</w:t>
      </w:r>
      <w:r>
        <w:rPr>
          <w:rFonts w:asciiTheme="minorHAnsi" w:hAnsiTheme="minorHAnsi"/>
          <w:lang w:eastAsia="en-AU"/>
        </w:rPr>
        <w:t xml:space="preserve"> n</w:t>
      </w:r>
      <w:r w:rsidRPr="009E45A7">
        <w:rPr>
          <w:rFonts w:asciiTheme="minorHAnsi" w:hAnsiTheme="minorHAnsi"/>
          <w:lang w:eastAsia="en-AU"/>
        </w:rPr>
        <w:t xml:space="preserve">o </w:t>
      </w:r>
      <w:r w:rsidR="0031250C">
        <w:rPr>
          <w:rFonts w:asciiTheme="minorHAnsi" w:hAnsiTheme="minorHAnsi"/>
          <w:lang w:eastAsia="en-AU"/>
        </w:rPr>
        <w:t xml:space="preserve">breaches of defined trigger or limit </w:t>
      </w:r>
      <w:r w:rsidRPr="009E45A7">
        <w:rPr>
          <w:rFonts w:asciiTheme="minorHAnsi" w:hAnsiTheme="minorHAnsi"/>
          <w:lang w:eastAsia="en-AU"/>
        </w:rPr>
        <w:t>reference point</w:t>
      </w:r>
      <w:r>
        <w:rPr>
          <w:rFonts w:asciiTheme="minorHAnsi" w:hAnsiTheme="minorHAnsi"/>
          <w:lang w:eastAsia="en-AU"/>
        </w:rPr>
        <w:t>s</w:t>
      </w:r>
      <w:r w:rsidRPr="009E45A7">
        <w:rPr>
          <w:rFonts w:asciiTheme="minorHAnsi" w:hAnsiTheme="minorHAnsi"/>
          <w:lang w:eastAsia="en-AU"/>
        </w:rPr>
        <w:t xml:space="preserve">. </w:t>
      </w:r>
      <w:r w:rsidR="0031250C">
        <w:rPr>
          <w:rFonts w:asciiTheme="minorHAnsi" w:hAnsiTheme="minorHAnsi"/>
          <w:lang w:eastAsia="en-AU"/>
        </w:rPr>
        <w:t>The</w:t>
      </w:r>
      <w:r w:rsidR="003F5E77">
        <w:rPr>
          <w:rFonts w:asciiTheme="minorHAnsi" w:hAnsiTheme="minorHAnsi"/>
          <w:lang w:eastAsia="en-AU"/>
        </w:rPr>
        <w:t xml:space="preserve">re was a total of 100 </w:t>
      </w:r>
      <w:r w:rsidR="005968A6">
        <w:rPr>
          <w:rFonts w:asciiTheme="minorHAnsi" w:hAnsiTheme="minorHAnsi"/>
          <w:lang w:eastAsia="en-AU"/>
        </w:rPr>
        <w:t xml:space="preserve">sawfish </w:t>
      </w:r>
      <w:r w:rsidR="003F5E77">
        <w:rPr>
          <w:rFonts w:asciiTheme="minorHAnsi" w:hAnsiTheme="minorHAnsi"/>
          <w:lang w:eastAsia="en-AU"/>
        </w:rPr>
        <w:t>interactions</w:t>
      </w:r>
      <w:r w:rsidR="00367820">
        <w:rPr>
          <w:rFonts w:asciiTheme="minorHAnsi" w:hAnsiTheme="minorHAnsi"/>
          <w:lang w:eastAsia="en-AU"/>
        </w:rPr>
        <w:t>,</w:t>
      </w:r>
      <w:r w:rsidR="003F5E77">
        <w:rPr>
          <w:rFonts w:asciiTheme="minorHAnsi" w:hAnsiTheme="minorHAnsi"/>
          <w:lang w:eastAsia="en-AU"/>
        </w:rPr>
        <w:t xml:space="preserve"> with 97 of these released alive at the point of capture </w:t>
      </w:r>
      <w:r>
        <w:rPr>
          <w:rFonts w:asciiTheme="minorHAnsi" w:hAnsiTheme="minorHAnsi"/>
          <w:lang w:eastAsia="en-AU"/>
        </w:rPr>
        <w:t>(</w:t>
      </w:r>
      <w:r>
        <w:rPr>
          <w:rFonts w:asciiTheme="minorHAnsi" w:hAnsiTheme="minorHAnsi"/>
          <w:lang w:eastAsia="en-AU"/>
        </w:rPr>
        <w:fldChar w:fldCharType="begin"/>
      </w:r>
      <w:r>
        <w:rPr>
          <w:rFonts w:asciiTheme="minorHAnsi" w:hAnsiTheme="minorHAnsi"/>
          <w:lang w:eastAsia="en-AU"/>
        </w:rPr>
        <w:instrText xml:space="preserve"> REF _Ref184198740 \h </w:instrText>
      </w:r>
      <w:r>
        <w:rPr>
          <w:rFonts w:asciiTheme="minorHAnsi" w:hAnsiTheme="minorHAnsi"/>
          <w:lang w:eastAsia="en-AU"/>
        </w:rPr>
      </w:r>
      <w:r>
        <w:rPr>
          <w:rFonts w:asciiTheme="minorHAnsi" w:hAnsiTheme="minorHAnsi"/>
          <w:lang w:eastAsia="en-AU"/>
        </w:rPr>
        <w:fldChar w:fldCharType="separate"/>
      </w:r>
      <w:r w:rsidR="007742D7">
        <w:t xml:space="preserve">Table </w:t>
      </w:r>
      <w:r w:rsidR="007742D7">
        <w:rPr>
          <w:noProof/>
        </w:rPr>
        <w:t>3</w:t>
      </w:r>
      <w:r>
        <w:rPr>
          <w:rFonts w:asciiTheme="minorHAnsi" w:hAnsiTheme="minorHAnsi"/>
          <w:lang w:eastAsia="en-AU"/>
        </w:rPr>
        <w:fldChar w:fldCharType="end"/>
      </w:r>
      <w:r>
        <w:rPr>
          <w:rFonts w:asciiTheme="minorHAnsi" w:hAnsiTheme="minorHAnsi"/>
          <w:lang w:eastAsia="en-AU"/>
        </w:rPr>
        <w:t>).</w:t>
      </w:r>
      <w:r w:rsidR="0014688F">
        <w:rPr>
          <w:rFonts w:asciiTheme="minorHAnsi" w:hAnsiTheme="minorHAnsi"/>
          <w:lang w:eastAsia="en-AU"/>
        </w:rPr>
        <w:t xml:space="preserve"> </w:t>
      </w:r>
    </w:p>
    <w:p w14:paraId="719EE9DC" w14:textId="1A9ECB35" w:rsidR="0055675D" w:rsidRDefault="0055675D" w:rsidP="0055675D">
      <w:pPr>
        <w:pStyle w:val="Caption"/>
        <w:keepNext/>
        <w:spacing w:after="120"/>
      </w:pPr>
      <w:bookmarkStart w:id="5" w:name="_Ref184198740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3</w:t>
      </w:r>
      <w:r>
        <w:fldChar w:fldCharType="end"/>
      </w:r>
      <w:bookmarkEnd w:id="5"/>
      <w:r>
        <w:t xml:space="preserve">. Species group specific total reported number of interactions and number of individuals released alive (in brackets) for the Barramundi Fishery </w:t>
      </w:r>
      <w:r w:rsidR="0031250C">
        <w:t xml:space="preserve">in </w:t>
      </w:r>
      <w:r>
        <w:t>2024.</w:t>
      </w:r>
    </w:p>
    <w:tbl>
      <w:tblPr>
        <w:tblStyle w:val="NTGmeetingagendatable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1984"/>
        <w:gridCol w:w="1418"/>
        <w:gridCol w:w="1417"/>
        <w:gridCol w:w="1560"/>
        <w:gridCol w:w="1382"/>
      </w:tblGrid>
      <w:tr w:rsidR="0055675D" w14:paraId="53C069F7" w14:textId="77777777" w:rsidTr="007742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87E9507" w14:textId="77777777" w:rsidR="0055675D" w:rsidRDefault="0055675D" w:rsidP="00FB71CC">
            <w:pPr>
              <w:rPr>
                <w:lang w:eastAsia="en-AU"/>
              </w:rPr>
            </w:pPr>
            <w:r>
              <w:rPr>
                <w:lang w:eastAsia="en-AU"/>
              </w:rPr>
              <w:t>Species Group</w:t>
            </w:r>
          </w:p>
        </w:tc>
        <w:tc>
          <w:tcPr>
            <w:tcW w:w="1984" w:type="dxa"/>
          </w:tcPr>
          <w:p w14:paraId="2B283457" w14:textId="3D578E4F" w:rsidR="0055675D" w:rsidRDefault="0031250C" w:rsidP="00FB71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Coastal Dolphins</w:t>
            </w:r>
          </w:p>
        </w:tc>
        <w:tc>
          <w:tcPr>
            <w:tcW w:w="1418" w:type="dxa"/>
          </w:tcPr>
          <w:p w14:paraId="406CBEC1" w14:textId="1420BF17" w:rsidR="0055675D" w:rsidRDefault="0031250C" w:rsidP="00FB71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Dugong</w:t>
            </w:r>
          </w:p>
        </w:tc>
        <w:tc>
          <w:tcPr>
            <w:tcW w:w="1417" w:type="dxa"/>
          </w:tcPr>
          <w:p w14:paraId="26DEC117" w14:textId="790F7267" w:rsidR="0055675D" w:rsidRDefault="0031250C" w:rsidP="00FB71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Turtles</w:t>
            </w:r>
          </w:p>
        </w:tc>
        <w:tc>
          <w:tcPr>
            <w:tcW w:w="1560" w:type="dxa"/>
          </w:tcPr>
          <w:p w14:paraId="4AA25410" w14:textId="3335CB0C" w:rsidR="0055675D" w:rsidRDefault="0031250C" w:rsidP="00FB71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River Sharks</w:t>
            </w:r>
          </w:p>
        </w:tc>
        <w:tc>
          <w:tcPr>
            <w:tcW w:w="1382" w:type="dxa"/>
          </w:tcPr>
          <w:p w14:paraId="507FD94E" w14:textId="30718C7F" w:rsidR="0055675D" w:rsidRDefault="0031250C" w:rsidP="00FB71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Sawfish</w:t>
            </w:r>
          </w:p>
        </w:tc>
      </w:tr>
      <w:tr w:rsidR="0055675D" w14:paraId="1A682407" w14:textId="77777777" w:rsidTr="007742D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17AE0066" w14:textId="4283E607" w:rsidR="0055675D" w:rsidRPr="00C6488E" w:rsidRDefault="0031250C" w:rsidP="00FB71CC">
            <w:pPr>
              <w:rPr>
                <w:b w:val="0"/>
                <w:lang w:eastAsia="en-AU"/>
              </w:rPr>
            </w:pPr>
            <w:r>
              <w:rPr>
                <w:lang w:eastAsia="en-AU"/>
              </w:rPr>
              <w:t>Number of interactions</w:t>
            </w:r>
          </w:p>
        </w:tc>
        <w:tc>
          <w:tcPr>
            <w:tcW w:w="1984" w:type="dxa"/>
          </w:tcPr>
          <w:p w14:paraId="09521077" w14:textId="77777777" w:rsidR="0055675D" w:rsidRDefault="0055675D" w:rsidP="00FB7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0</w:t>
            </w:r>
          </w:p>
        </w:tc>
        <w:tc>
          <w:tcPr>
            <w:tcW w:w="1418" w:type="dxa"/>
          </w:tcPr>
          <w:p w14:paraId="2C4E5CAE" w14:textId="77777777" w:rsidR="0055675D" w:rsidRDefault="0055675D" w:rsidP="00FB7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0</w:t>
            </w:r>
          </w:p>
        </w:tc>
        <w:tc>
          <w:tcPr>
            <w:tcW w:w="1417" w:type="dxa"/>
          </w:tcPr>
          <w:p w14:paraId="55464292" w14:textId="77777777" w:rsidR="0055675D" w:rsidRDefault="0055675D" w:rsidP="00FB7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0</w:t>
            </w:r>
          </w:p>
        </w:tc>
        <w:tc>
          <w:tcPr>
            <w:tcW w:w="1560" w:type="dxa"/>
          </w:tcPr>
          <w:p w14:paraId="0374C032" w14:textId="3516B4DA" w:rsidR="0055675D" w:rsidRDefault="0031250C" w:rsidP="00FB7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0</w:t>
            </w:r>
          </w:p>
        </w:tc>
        <w:tc>
          <w:tcPr>
            <w:tcW w:w="1382" w:type="dxa"/>
          </w:tcPr>
          <w:p w14:paraId="30FDF9E2" w14:textId="173DBAB4" w:rsidR="0055675D" w:rsidRDefault="0031250C" w:rsidP="00FB71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100 (97)</w:t>
            </w:r>
          </w:p>
        </w:tc>
      </w:tr>
    </w:tbl>
    <w:p w14:paraId="6D329079" w14:textId="342B46F5" w:rsidR="005A0C2B" w:rsidRDefault="00347D57" w:rsidP="007742D7">
      <w:pPr>
        <w:pStyle w:val="Heading1"/>
        <w:spacing w:after="120"/>
        <w:rPr>
          <w:sz w:val="32"/>
          <w:szCs w:val="28"/>
          <w:lang w:eastAsia="en-AU"/>
        </w:rPr>
      </w:pPr>
      <w:r>
        <w:rPr>
          <w:sz w:val="32"/>
          <w:szCs w:val="28"/>
          <w:lang w:eastAsia="en-AU"/>
        </w:rPr>
        <w:t>Data validation</w:t>
      </w:r>
    </w:p>
    <w:p w14:paraId="22E52F6E" w14:textId="2B4BCFCB" w:rsidR="00CD6728" w:rsidRPr="007742D7" w:rsidRDefault="005A0C2B">
      <w:pPr>
        <w:shd w:val="clear" w:color="auto" w:fill="FFFFFF" w:themeFill="background1"/>
        <w:jc w:val="both"/>
        <w:rPr>
          <w:rFonts w:asciiTheme="minorHAnsi" w:hAnsiTheme="minorHAnsi"/>
          <w:lang w:eastAsia="en-AU"/>
        </w:rPr>
      </w:pPr>
      <w:r>
        <w:rPr>
          <w:rFonts w:asciiTheme="minorHAnsi" w:hAnsiTheme="minorHAnsi"/>
          <w:lang w:eastAsia="en-AU"/>
        </w:rPr>
        <w:t xml:space="preserve">In the 2024 fishing season, electronic monitoring (EM) solutions were </w:t>
      </w:r>
      <w:r w:rsidR="00EC704E" w:rsidRPr="009E45A7">
        <w:rPr>
          <w:rFonts w:asciiTheme="minorHAnsi" w:hAnsiTheme="minorHAnsi"/>
          <w:lang w:eastAsia="en-AU"/>
        </w:rPr>
        <w:t>fitted and trialled on three commercial fishing vessels</w:t>
      </w:r>
      <w:r>
        <w:rPr>
          <w:rFonts w:asciiTheme="minorHAnsi" w:hAnsiTheme="minorHAnsi"/>
          <w:lang w:eastAsia="en-AU"/>
        </w:rPr>
        <w:t xml:space="preserve"> </w:t>
      </w:r>
      <w:r w:rsidR="004515F2" w:rsidRPr="009E45A7">
        <w:rPr>
          <w:rFonts w:asciiTheme="minorHAnsi" w:hAnsiTheme="minorHAnsi"/>
          <w:lang w:eastAsia="en-AU"/>
        </w:rPr>
        <w:t xml:space="preserve">over four trips </w:t>
      </w:r>
      <w:r w:rsidR="00EC704E" w:rsidRPr="009E45A7">
        <w:rPr>
          <w:rFonts w:asciiTheme="minorHAnsi" w:hAnsiTheme="minorHAnsi"/>
          <w:lang w:eastAsia="en-AU"/>
        </w:rPr>
        <w:t>within the Barramundi Fishery.</w:t>
      </w:r>
      <w:r w:rsidR="004515F2" w:rsidRPr="009E45A7">
        <w:rPr>
          <w:rFonts w:asciiTheme="minorHAnsi" w:hAnsiTheme="minorHAnsi"/>
          <w:lang w:eastAsia="en-AU"/>
        </w:rPr>
        <w:t xml:space="preserve"> The trial confirmed that the footage collected is fit for purpose and enables validation of Threatened, Endangered and Protected Species (TEPS) interactions reported in catch logs</w:t>
      </w:r>
      <w:r>
        <w:rPr>
          <w:rFonts w:asciiTheme="minorHAnsi" w:hAnsiTheme="minorHAnsi"/>
          <w:lang w:eastAsia="en-AU"/>
        </w:rPr>
        <w:t>. Several</w:t>
      </w:r>
      <w:r w:rsidR="004515F2" w:rsidRPr="009E45A7">
        <w:rPr>
          <w:rFonts w:asciiTheme="minorHAnsi" w:hAnsiTheme="minorHAnsi"/>
          <w:lang w:eastAsia="en-AU"/>
        </w:rPr>
        <w:t xml:space="preserve"> practical challenges were identified regarding the EM configuration on vessels</w:t>
      </w:r>
      <w:r>
        <w:rPr>
          <w:rFonts w:asciiTheme="minorHAnsi" w:hAnsiTheme="minorHAnsi"/>
          <w:lang w:eastAsia="en-AU"/>
        </w:rPr>
        <w:t xml:space="preserve"> and m</w:t>
      </w:r>
      <w:r w:rsidR="004515F2" w:rsidRPr="009E45A7">
        <w:rPr>
          <w:rFonts w:asciiTheme="minorHAnsi" w:hAnsiTheme="minorHAnsi"/>
          <w:lang w:eastAsia="en-AU"/>
        </w:rPr>
        <w:t xml:space="preserve">odifications are currently being </w:t>
      </w:r>
      <w:r>
        <w:rPr>
          <w:rFonts w:asciiTheme="minorHAnsi" w:hAnsiTheme="minorHAnsi"/>
          <w:lang w:eastAsia="en-AU"/>
        </w:rPr>
        <w:t>made</w:t>
      </w:r>
      <w:r w:rsidR="004515F2" w:rsidRPr="009E45A7">
        <w:rPr>
          <w:rFonts w:asciiTheme="minorHAnsi" w:hAnsiTheme="minorHAnsi"/>
          <w:lang w:eastAsia="en-AU"/>
        </w:rPr>
        <w:t xml:space="preserve"> with the intention of achieving 100% coverage by 1 July </w:t>
      </w:r>
      <w:r w:rsidR="004515F2" w:rsidRPr="00F00DE7">
        <w:rPr>
          <w:rFonts w:asciiTheme="minorHAnsi" w:hAnsiTheme="minorHAnsi"/>
          <w:lang w:eastAsia="en-AU"/>
        </w:rPr>
        <w:t>2025.</w:t>
      </w:r>
      <w:r w:rsidRPr="00F00DE7">
        <w:rPr>
          <w:rFonts w:asciiTheme="minorHAnsi" w:hAnsiTheme="minorHAnsi"/>
          <w:lang w:eastAsia="en-AU"/>
        </w:rPr>
        <w:t xml:space="preserve"> </w:t>
      </w:r>
      <w:r w:rsidR="00F00DE7" w:rsidRPr="00F00DE7">
        <w:rPr>
          <w:rFonts w:asciiTheme="minorHAnsi" w:hAnsiTheme="minorHAnsi"/>
          <w:lang w:eastAsia="en-AU"/>
        </w:rPr>
        <w:t>Two</w:t>
      </w:r>
      <w:r w:rsidRPr="00F00DE7">
        <w:rPr>
          <w:rFonts w:asciiTheme="minorHAnsi" w:hAnsiTheme="minorHAnsi"/>
          <w:lang w:eastAsia="en-AU"/>
        </w:rPr>
        <w:t xml:space="preserve"> onboard observer trips</w:t>
      </w:r>
      <w:r>
        <w:rPr>
          <w:rFonts w:asciiTheme="minorHAnsi" w:hAnsiTheme="minorHAnsi"/>
          <w:lang w:eastAsia="en-AU"/>
        </w:rPr>
        <w:t xml:space="preserve"> were also conducted in the 2024 fishing season</w:t>
      </w:r>
      <w:r w:rsidR="00347D57">
        <w:rPr>
          <w:rFonts w:asciiTheme="minorHAnsi" w:hAnsiTheme="minorHAnsi"/>
          <w:lang w:eastAsia="en-AU"/>
        </w:rPr>
        <w:t xml:space="preserve"> to gather biological data on Barramundi and King Threadfin including lengths, weights, sex and age</w:t>
      </w:r>
      <w:r w:rsidR="0031250C">
        <w:rPr>
          <w:rFonts w:asciiTheme="minorHAnsi" w:hAnsiTheme="minorHAnsi"/>
          <w:lang w:eastAsia="en-AU"/>
        </w:rPr>
        <w:t xml:space="preserve">, </w:t>
      </w:r>
      <w:r w:rsidR="00347D57">
        <w:rPr>
          <w:rFonts w:asciiTheme="minorHAnsi" w:hAnsiTheme="minorHAnsi"/>
          <w:lang w:eastAsia="en-AU"/>
        </w:rPr>
        <w:t>as well as verify</w:t>
      </w:r>
      <w:r w:rsidR="0031250C">
        <w:rPr>
          <w:rFonts w:asciiTheme="minorHAnsi" w:hAnsiTheme="minorHAnsi"/>
          <w:lang w:eastAsia="en-AU"/>
        </w:rPr>
        <w:t xml:space="preserve"> reported logbook data. </w:t>
      </w:r>
    </w:p>
    <w:sectPr w:rsidR="00CD6728" w:rsidRPr="007742D7" w:rsidSect="00CC571B">
      <w:headerReference w:type="default" r:id="rId13"/>
      <w:footerReference w:type="default" r:id="rId14"/>
      <w:footerReference w:type="first" r:id="rId15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217C4" w14:textId="77777777" w:rsidR="009017BF" w:rsidRDefault="009017BF" w:rsidP="007332FF">
      <w:r>
        <w:separator/>
      </w:r>
    </w:p>
  </w:endnote>
  <w:endnote w:type="continuationSeparator" w:id="0">
    <w:p w14:paraId="5F9B7AE4" w14:textId="77777777" w:rsidR="009017BF" w:rsidRDefault="009017BF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BB70C" w14:textId="77777777" w:rsidR="00996655" w:rsidRDefault="00996655" w:rsidP="00996655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996655" w:rsidRPr="00132658" w14:paraId="65B13494" w14:textId="77777777" w:rsidTr="001D258A">
      <w:trPr>
        <w:cantSplit/>
        <w:trHeight w:hRule="exact" w:val="567"/>
      </w:trPr>
      <w:tc>
        <w:tcPr>
          <w:tcW w:w="10318" w:type="dxa"/>
          <w:vAlign w:val="bottom"/>
        </w:tcPr>
        <w:p w14:paraId="30BA2F23" w14:textId="62CCD235" w:rsidR="00996655" w:rsidRPr="00750D2F" w:rsidRDefault="00996655" w:rsidP="00996655">
          <w:pPr>
            <w:spacing w:after="0"/>
            <w:rPr>
              <w:rStyle w:val="PageNumber"/>
            </w:rPr>
          </w:pPr>
          <w:r w:rsidRPr="00750D2F"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310921806"/>
              <w:placeholder>
                <w:docPart w:val="18E53A0AAF794CC582ACAD41EDCEBA04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15:color w:val="000000"/>
              <w:text w:multiLine="1"/>
            </w:sdtPr>
            <w:sdtContent>
              <w:r w:rsidR="00EC704E">
                <w:rPr>
                  <w:rStyle w:val="PageNumber"/>
                  <w:b/>
                </w:rPr>
                <w:t>Agriculture and Fisheries</w:t>
              </w:r>
            </w:sdtContent>
          </w:sdt>
        </w:p>
        <w:p w14:paraId="71AF1B24" w14:textId="77777777" w:rsidR="00996655" w:rsidRPr="00AC4488" w:rsidRDefault="00996655" w:rsidP="00996655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953762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953762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5A3AFF62" w14:textId="77777777" w:rsidR="00CA36A0" w:rsidRPr="00996655" w:rsidRDefault="00CA36A0" w:rsidP="00996655">
    <w:pPr>
      <w:pStyle w:val="Hidden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81EA8" w14:textId="77777777" w:rsidR="00D15D88" w:rsidRDefault="00D15D88" w:rsidP="00C0326E">
    <w:pPr>
      <w:spacing w:after="0"/>
    </w:pPr>
  </w:p>
  <w:p w14:paraId="52BCE6E0" w14:textId="77777777" w:rsidR="00996655" w:rsidRDefault="00996655" w:rsidP="00996655">
    <w:pPr>
      <w:pStyle w:val="Hidden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C0326E" w:rsidRPr="00132658" w14:paraId="10FC1C3D" w14:textId="77777777" w:rsidTr="008921B4">
      <w:trPr>
        <w:cantSplit/>
        <w:trHeight w:hRule="exact" w:val="1134"/>
      </w:trPr>
      <w:tc>
        <w:tcPr>
          <w:tcW w:w="7767" w:type="dxa"/>
          <w:vAlign w:val="bottom"/>
        </w:tcPr>
        <w:p w14:paraId="33F20308" w14:textId="593B31C9" w:rsidR="00901430" w:rsidRPr="00901430" w:rsidRDefault="00901430" w:rsidP="00C0326E">
          <w:pPr>
            <w:spacing w:after="0"/>
            <w:rPr>
              <w:rStyle w:val="PageNumber"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b/>
                <w:sz w:val="19"/>
                <w:szCs w:val="19"/>
              </w:rPr>
              <w:alias w:val="Company"/>
              <w:tag w:val=""/>
              <w:id w:val="250782577"/>
              <w:dataBinding w:prefixMappings="xmlns:ns0='http://schemas.openxmlformats.org/officeDocument/2006/extended-properties' " w:xpath="/ns0:Properties[1]/ns0:Company[1]" w:storeItemID="{6668398D-A668-4E3E-A5EB-62B293D839F1}"/>
              <w15:color w:val="000000"/>
              <w:text w:multiLine="1"/>
            </w:sdtPr>
            <w:sdtContent>
              <w:r w:rsidR="00EC704E">
                <w:rPr>
                  <w:b/>
                  <w:sz w:val="19"/>
                  <w:szCs w:val="19"/>
                </w:rPr>
                <w:t>Agriculture and Fisheries</w:t>
              </w:r>
            </w:sdtContent>
          </w:sdt>
        </w:p>
        <w:p w14:paraId="666B13B5" w14:textId="77777777" w:rsidR="00C0326E" w:rsidRPr="00CE30CF" w:rsidRDefault="00C0326E" w:rsidP="00C0326E">
          <w:pPr>
            <w:spacing w:after="0"/>
            <w:rPr>
              <w:rStyle w:val="PageNumber"/>
            </w:rPr>
          </w:pPr>
          <w:r w:rsidRPr="00CE30CF">
            <w:rPr>
              <w:rStyle w:val="PageNumber"/>
            </w:rPr>
            <w:t xml:space="preserve">Page </w:t>
          </w:r>
          <w:r w:rsidRPr="00CE30CF">
            <w:rPr>
              <w:rStyle w:val="PageNumber"/>
            </w:rPr>
            <w:fldChar w:fldCharType="begin"/>
          </w:r>
          <w:r w:rsidRPr="00CE30CF">
            <w:rPr>
              <w:rStyle w:val="PageNumber"/>
            </w:rPr>
            <w:instrText xml:space="preserve"> PAGE  \* Arabic  \* MERGEFORMAT </w:instrText>
          </w:r>
          <w:r w:rsidRPr="00CE30CF">
            <w:rPr>
              <w:rStyle w:val="PageNumber"/>
            </w:rPr>
            <w:fldChar w:fldCharType="separate"/>
          </w:r>
          <w:r w:rsidR="00C92C5E">
            <w:rPr>
              <w:rStyle w:val="PageNumber"/>
              <w:noProof/>
            </w:rPr>
            <w:t>1</w:t>
          </w:r>
          <w:r w:rsidRPr="00CE30CF">
            <w:rPr>
              <w:rStyle w:val="PageNumber"/>
            </w:rPr>
            <w:fldChar w:fldCharType="end"/>
          </w:r>
          <w:r w:rsidRPr="00CE30CF">
            <w:rPr>
              <w:rStyle w:val="PageNumber"/>
            </w:rPr>
            <w:t xml:space="preserve"> of </w:t>
          </w:r>
          <w:r w:rsidRPr="00CE30CF">
            <w:rPr>
              <w:rStyle w:val="PageNumber"/>
            </w:rPr>
            <w:fldChar w:fldCharType="begin"/>
          </w:r>
          <w:r w:rsidRPr="00CE30CF">
            <w:rPr>
              <w:rStyle w:val="PageNumber"/>
            </w:rPr>
            <w:instrText xml:space="preserve"> NUMPAGES  \* Arabic  \* MERGEFORMAT </w:instrText>
          </w:r>
          <w:r w:rsidRPr="00CE30CF">
            <w:rPr>
              <w:rStyle w:val="PageNumber"/>
            </w:rPr>
            <w:fldChar w:fldCharType="separate"/>
          </w:r>
          <w:r w:rsidR="00C92C5E">
            <w:rPr>
              <w:rStyle w:val="PageNumber"/>
              <w:noProof/>
            </w:rPr>
            <w:t>1</w:t>
          </w:r>
          <w:r w:rsidRPr="00CE30CF">
            <w:rPr>
              <w:rStyle w:val="PageNumber"/>
            </w:rPr>
            <w:fldChar w:fldCharType="end"/>
          </w:r>
          <w:r>
            <w:rPr>
              <w:rFonts w:ascii="Times New Roman" w:eastAsia="Times New Roman" w:hAnsi="Times New Roman"/>
              <w:snapToGrid w:val="0"/>
              <w:color w:val="000000"/>
              <w:w w:val="0"/>
              <w:sz w:val="0"/>
              <w:szCs w:val="0"/>
              <w:u w:color="000000"/>
              <w:bdr w:val="none" w:sz="0" w:space="0" w:color="000000"/>
              <w:shd w:val="clear" w:color="000000" w:fill="000000"/>
              <w:lang w:val="x-none" w:eastAsia="x-none" w:bidi="x-none"/>
            </w:rPr>
            <w:t xml:space="preserve"> </w:t>
          </w:r>
        </w:p>
      </w:tc>
      <w:tc>
        <w:tcPr>
          <w:tcW w:w="2551" w:type="dxa"/>
          <w:vAlign w:val="bottom"/>
        </w:tcPr>
        <w:p w14:paraId="34E003BC" w14:textId="77777777" w:rsidR="00C0326E" w:rsidRPr="001E14EB" w:rsidRDefault="00C0326E" w:rsidP="00C0326E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1C3714D9" wp14:editId="08277F89">
                <wp:extent cx="1572479" cy="561600"/>
                <wp:effectExtent l="0" t="0" r="8890" b="0"/>
                <wp:docPr id="9" name="Picture 9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32D41AF1" w14:textId="77777777" w:rsidR="00EF7362" w:rsidRPr="00661BE1" w:rsidRDefault="00EF7362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20C95" w14:textId="77777777" w:rsidR="009017BF" w:rsidRDefault="009017BF" w:rsidP="007332FF">
      <w:r>
        <w:separator/>
      </w:r>
    </w:p>
  </w:footnote>
  <w:footnote w:type="continuationSeparator" w:id="0">
    <w:p w14:paraId="5864CD20" w14:textId="77777777" w:rsidR="009017BF" w:rsidRDefault="009017BF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6095F" w14:textId="5A7A25B9" w:rsidR="00983000" w:rsidRPr="00162207" w:rsidRDefault="00000000" w:rsidP="00996655">
    <w:pPr>
      <w:pStyle w:val="Header"/>
      <w:tabs>
        <w:tab w:val="clear" w:pos="9638"/>
        <w:tab w:val="right" w:pos="10318"/>
      </w:tabs>
      <w:jc w:val="right"/>
    </w:pPr>
    <w:sdt>
      <w:sdtPr>
        <w:alias w:val="Title"/>
        <w:tag w:val="Title"/>
        <w:id w:val="-1014609639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6F48CD">
          <w:t>Barramundi Fishery Status Report 2024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B668C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1" w15:restartNumberingAfterBreak="0">
    <w:nsid w:val="06DC644B"/>
    <w:multiLevelType w:val="hybridMultilevel"/>
    <w:tmpl w:val="C1B60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C6DBF"/>
    <w:multiLevelType w:val="hybridMultilevel"/>
    <w:tmpl w:val="F650FF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4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5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6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7" w15:restartNumberingAfterBreak="0">
    <w:nsid w:val="13154224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9" w15:restartNumberingAfterBreak="0">
    <w:nsid w:val="163515A8"/>
    <w:multiLevelType w:val="hybridMultilevel"/>
    <w:tmpl w:val="0A14065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A4348"/>
    <w:multiLevelType w:val="hybridMultilevel"/>
    <w:tmpl w:val="A8043C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D7824"/>
    <w:multiLevelType w:val="multilevel"/>
    <w:tmpl w:val="E6E2F9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13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4" w15:restartNumberingAfterBreak="0">
    <w:nsid w:val="19946FDC"/>
    <w:multiLevelType w:val="hybridMultilevel"/>
    <w:tmpl w:val="22429E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6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7" w15:restartNumberingAfterBreak="0">
    <w:nsid w:val="1B803779"/>
    <w:multiLevelType w:val="hybridMultilevel"/>
    <w:tmpl w:val="C2D610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9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20" w15:restartNumberingAfterBreak="0">
    <w:nsid w:val="1EF00CF1"/>
    <w:multiLevelType w:val="hybridMultilevel"/>
    <w:tmpl w:val="037E70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22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23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24" w15:restartNumberingAfterBreak="0">
    <w:nsid w:val="27D83E4D"/>
    <w:multiLevelType w:val="multilevel"/>
    <w:tmpl w:val="3928FD02"/>
    <w:numStyleLink w:val="Bulletlist"/>
  </w:abstractNum>
  <w:abstractNum w:abstractNumId="25" w15:restartNumberingAfterBreak="0">
    <w:nsid w:val="28630758"/>
    <w:multiLevelType w:val="hybridMultilevel"/>
    <w:tmpl w:val="F078C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1520E7"/>
    <w:multiLevelType w:val="multilevel"/>
    <w:tmpl w:val="4E6AC8F6"/>
    <w:numStyleLink w:val="Numberlist"/>
  </w:abstractNum>
  <w:abstractNum w:abstractNumId="27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8" w15:restartNumberingAfterBreak="0">
    <w:nsid w:val="2D9612F8"/>
    <w:multiLevelType w:val="hybridMultilevel"/>
    <w:tmpl w:val="1144D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30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31" w15:restartNumberingAfterBreak="0">
    <w:nsid w:val="32CB5662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2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33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4" w15:restartNumberingAfterBreak="0">
    <w:nsid w:val="378227E2"/>
    <w:multiLevelType w:val="hybridMultilevel"/>
    <w:tmpl w:val="6AE42F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89457ED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6" w15:restartNumberingAfterBreak="0">
    <w:nsid w:val="39390CDE"/>
    <w:multiLevelType w:val="multilevel"/>
    <w:tmpl w:val="A9129B7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37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38" w15:restartNumberingAfterBreak="0">
    <w:nsid w:val="3DE37322"/>
    <w:multiLevelType w:val="hybridMultilevel"/>
    <w:tmpl w:val="5EFEC1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40A9623F"/>
    <w:multiLevelType w:val="hybridMultilevel"/>
    <w:tmpl w:val="00064D9C"/>
    <w:lvl w:ilvl="0" w:tplc="033C5BA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C3CE477E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23D6322"/>
    <w:multiLevelType w:val="hybridMultilevel"/>
    <w:tmpl w:val="A9C45F8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4A124F1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2" w15:restartNumberingAfterBreak="0">
    <w:nsid w:val="49C43599"/>
    <w:multiLevelType w:val="hybridMultilevel"/>
    <w:tmpl w:val="EB862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44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45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6" w15:restartNumberingAfterBreak="0">
    <w:nsid w:val="5044168B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7" w15:restartNumberingAfterBreak="0">
    <w:nsid w:val="51CC4897"/>
    <w:multiLevelType w:val="hybridMultilevel"/>
    <w:tmpl w:val="100C2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7F7DCB"/>
    <w:multiLevelType w:val="hybridMultilevel"/>
    <w:tmpl w:val="60588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3842BC6"/>
    <w:multiLevelType w:val="multilevel"/>
    <w:tmpl w:val="0C78A7AC"/>
    <w:numStyleLink w:val="Tablebulletlist"/>
  </w:abstractNum>
  <w:abstractNum w:abstractNumId="50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51" w15:restartNumberingAfterBreak="0">
    <w:nsid w:val="569B4482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2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53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54" w15:restartNumberingAfterBreak="0">
    <w:nsid w:val="58405D33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5" w15:restartNumberingAfterBreak="0">
    <w:nsid w:val="58DC34FF"/>
    <w:multiLevelType w:val="hybridMultilevel"/>
    <w:tmpl w:val="D67C0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8E21323"/>
    <w:multiLevelType w:val="multilevel"/>
    <w:tmpl w:val="4E6AC8F6"/>
    <w:numStyleLink w:val="Numberlist"/>
  </w:abstractNum>
  <w:abstractNum w:abstractNumId="57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58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59" w15:restartNumberingAfterBreak="0">
    <w:nsid w:val="5F9F2C75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23009DC"/>
    <w:multiLevelType w:val="hybridMultilevel"/>
    <w:tmpl w:val="D2603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42B0A38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62" w15:restartNumberingAfterBreak="0">
    <w:nsid w:val="642F2FF4"/>
    <w:multiLevelType w:val="hybridMultilevel"/>
    <w:tmpl w:val="2320E39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65757574"/>
    <w:multiLevelType w:val="hybridMultilevel"/>
    <w:tmpl w:val="5A70F6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5A52BB0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65" w15:restartNumberingAfterBreak="0">
    <w:nsid w:val="6877743F"/>
    <w:multiLevelType w:val="hybridMultilevel"/>
    <w:tmpl w:val="08A2B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67" w15:restartNumberingAfterBreak="0">
    <w:nsid w:val="6E713C06"/>
    <w:multiLevelType w:val="hybridMultilevel"/>
    <w:tmpl w:val="CD9EAE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3734F5F"/>
    <w:multiLevelType w:val="hybridMultilevel"/>
    <w:tmpl w:val="48B6F3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70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71" w15:restartNumberingAfterBreak="0">
    <w:nsid w:val="765A32D4"/>
    <w:multiLevelType w:val="multilevel"/>
    <w:tmpl w:val="4E6AC8F6"/>
    <w:numStyleLink w:val="Numberlist"/>
  </w:abstractNum>
  <w:abstractNum w:abstractNumId="72" w15:restartNumberingAfterBreak="0">
    <w:nsid w:val="770379B5"/>
    <w:multiLevelType w:val="hybridMultilevel"/>
    <w:tmpl w:val="E43EB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4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 w16cid:durableId="1969316440">
    <w:abstractNumId w:val="33"/>
  </w:num>
  <w:num w:numId="2" w16cid:durableId="1969585260">
    <w:abstractNumId w:val="21"/>
  </w:num>
  <w:num w:numId="3" w16cid:durableId="364525501">
    <w:abstractNumId w:val="73"/>
  </w:num>
  <w:num w:numId="4" w16cid:durableId="967706226">
    <w:abstractNumId w:val="44"/>
  </w:num>
  <w:num w:numId="5" w16cid:durableId="483814573">
    <w:abstractNumId w:val="27"/>
  </w:num>
  <w:num w:numId="6" w16cid:durableId="721909383">
    <w:abstractNumId w:val="15"/>
  </w:num>
  <w:num w:numId="7" w16cid:durableId="1433286110">
    <w:abstractNumId w:val="49"/>
  </w:num>
  <w:num w:numId="8" w16cid:durableId="1497067384">
    <w:abstractNumId w:val="24"/>
  </w:num>
  <w:num w:numId="9" w16cid:durableId="1113281196">
    <w:abstractNumId w:val="56"/>
  </w:num>
  <w:num w:numId="10" w16cid:durableId="1161431755">
    <w:abstractNumId w:val="20"/>
  </w:num>
  <w:num w:numId="11" w16cid:durableId="209153105">
    <w:abstractNumId w:val="63"/>
  </w:num>
  <w:num w:numId="12" w16cid:durableId="427309969">
    <w:abstractNumId w:val="17"/>
  </w:num>
  <w:num w:numId="13" w16cid:durableId="1571623022">
    <w:abstractNumId w:val="1"/>
  </w:num>
  <w:num w:numId="14" w16cid:durableId="1954745339">
    <w:abstractNumId w:val="60"/>
  </w:num>
  <w:num w:numId="15" w16cid:durableId="863514554">
    <w:abstractNumId w:val="26"/>
  </w:num>
  <w:num w:numId="16" w16cid:durableId="223488603">
    <w:abstractNumId w:val="61"/>
  </w:num>
  <w:num w:numId="17" w16cid:durableId="1424260910">
    <w:abstractNumId w:val="71"/>
  </w:num>
  <w:num w:numId="18" w16cid:durableId="553857324">
    <w:abstractNumId w:val="55"/>
  </w:num>
  <w:num w:numId="19" w16cid:durableId="1303804024">
    <w:abstractNumId w:val="47"/>
  </w:num>
  <w:num w:numId="20" w16cid:durableId="916862557">
    <w:abstractNumId w:val="51"/>
  </w:num>
  <w:num w:numId="21" w16cid:durableId="1073162593">
    <w:abstractNumId w:val="39"/>
  </w:num>
  <w:num w:numId="22" w16cid:durableId="1435831969">
    <w:abstractNumId w:val="54"/>
  </w:num>
  <w:num w:numId="23" w16cid:durableId="1816335786">
    <w:abstractNumId w:val="46"/>
  </w:num>
  <w:num w:numId="24" w16cid:durableId="394014017">
    <w:abstractNumId w:val="41"/>
  </w:num>
  <w:num w:numId="25" w16cid:durableId="1198465382">
    <w:abstractNumId w:val="36"/>
  </w:num>
  <w:num w:numId="26" w16cid:durableId="1994065212">
    <w:abstractNumId w:val="10"/>
  </w:num>
  <w:num w:numId="27" w16cid:durableId="789518862">
    <w:abstractNumId w:val="72"/>
  </w:num>
  <w:num w:numId="28" w16cid:durableId="2018538136">
    <w:abstractNumId w:val="35"/>
  </w:num>
  <w:num w:numId="29" w16cid:durableId="315691299">
    <w:abstractNumId w:val="28"/>
  </w:num>
  <w:num w:numId="30" w16cid:durableId="1272281604">
    <w:abstractNumId w:val="0"/>
  </w:num>
  <w:num w:numId="31" w16cid:durableId="190267148">
    <w:abstractNumId w:val="40"/>
  </w:num>
  <w:num w:numId="32" w16cid:durableId="445196667">
    <w:abstractNumId w:val="9"/>
  </w:num>
  <w:num w:numId="33" w16cid:durableId="1162813989">
    <w:abstractNumId w:val="64"/>
  </w:num>
  <w:num w:numId="34" w16cid:durableId="1355156948">
    <w:abstractNumId w:val="31"/>
  </w:num>
  <w:num w:numId="35" w16cid:durableId="995961709">
    <w:abstractNumId w:val="48"/>
  </w:num>
  <w:num w:numId="36" w16cid:durableId="483811703">
    <w:abstractNumId w:val="65"/>
  </w:num>
  <w:num w:numId="37" w16cid:durableId="1397896841">
    <w:abstractNumId w:val="67"/>
  </w:num>
  <w:num w:numId="38" w16cid:durableId="333805834">
    <w:abstractNumId w:val="14"/>
  </w:num>
  <w:num w:numId="39" w16cid:durableId="234315620">
    <w:abstractNumId w:val="25"/>
  </w:num>
  <w:num w:numId="40" w16cid:durableId="1678462360">
    <w:abstractNumId w:val="68"/>
  </w:num>
  <w:num w:numId="41" w16cid:durableId="808792096">
    <w:abstractNumId w:val="2"/>
  </w:num>
  <w:num w:numId="42" w16cid:durableId="1276868671">
    <w:abstractNumId w:val="59"/>
  </w:num>
  <w:num w:numId="43" w16cid:durableId="601113734">
    <w:abstractNumId w:val="11"/>
  </w:num>
  <w:num w:numId="44" w16cid:durableId="998847373">
    <w:abstractNumId w:val="34"/>
  </w:num>
  <w:num w:numId="45" w16cid:durableId="1903633710">
    <w:abstractNumId w:val="42"/>
  </w:num>
  <w:num w:numId="46" w16cid:durableId="14811923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80377066">
    <w:abstractNumId w:val="7"/>
  </w:num>
  <w:num w:numId="48" w16cid:durableId="1683126325">
    <w:abstractNumId w:val="38"/>
  </w:num>
  <w:num w:numId="49" w16cid:durableId="1312443508">
    <w:abstractNumId w:val="6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attachedTemplate r:id="rId1"/>
  <w:stylePaneFormatFilter w:val="DB04" w:allStyles="0" w:customStyles="0" w:latentStyles="1" w:stylesInUse="0" w:headingStyles="0" w:numberingStyles="0" w:tableStyles="0" w:directFormattingOnRuns="1" w:directFormattingOnParagraphs="1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2FF"/>
    <w:rsid w:val="00001DDF"/>
    <w:rsid w:val="0000322D"/>
    <w:rsid w:val="00007670"/>
    <w:rsid w:val="00010665"/>
    <w:rsid w:val="00020308"/>
    <w:rsid w:val="0002374F"/>
    <w:rsid w:val="0002393A"/>
    <w:rsid w:val="00027DB8"/>
    <w:rsid w:val="00031A96"/>
    <w:rsid w:val="00040BF3"/>
    <w:rsid w:val="0004211C"/>
    <w:rsid w:val="00046C59"/>
    <w:rsid w:val="00051362"/>
    <w:rsid w:val="00051F45"/>
    <w:rsid w:val="00052953"/>
    <w:rsid w:val="0005341A"/>
    <w:rsid w:val="0005465F"/>
    <w:rsid w:val="00056DEF"/>
    <w:rsid w:val="00056EDC"/>
    <w:rsid w:val="0006635A"/>
    <w:rsid w:val="000720BE"/>
    <w:rsid w:val="0007259C"/>
    <w:rsid w:val="00080202"/>
    <w:rsid w:val="00080DCD"/>
    <w:rsid w:val="00080E22"/>
    <w:rsid w:val="00082573"/>
    <w:rsid w:val="000840A3"/>
    <w:rsid w:val="00085062"/>
    <w:rsid w:val="00086A5F"/>
    <w:rsid w:val="00090F70"/>
    <w:rsid w:val="000911EF"/>
    <w:rsid w:val="000962C5"/>
    <w:rsid w:val="00097865"/>
    <w:rsid w:val="000A2DFD"/>
    <w:rsid w:val="000A4317"/>
    <w:rsid w:val="000A559C"/>
    <w:rsid w:val="000B2CA1"/>
    <w:rsid w:val="000D1F29"/>
    <w:rsid w:val="000D4B2C"/>
    <w:rsid w:val="000D633D"/>
    <w:rsid w:val="000E342B"/>
    <w:rsid w:val="000E3ED2"/>
    <w:rsid w:val="000E5DD2"/>
    <w:rsid w:val="000F2958"/>
    <w:rsid w:val="000F3850"/>
    <w:rsid w:val="000F604F"/>
    <w:rsid w:val="00104E7F"/>
    <w:rsid w:val="001137EC"/>
    <w:rsid w:val="00114404"/>
    <w:rsid w:val="001152F5"/>
    <w:rsid w:val="00117743"/>
    <w:rsid w:val="00117F5B"/>
    <w:rsid w:val="00123EC3"/>
    <w:rsid w:val="00125055"/>
    <w:rsid w:val="00127715"/>
    <w:rsid w:val="00132658"/>
    <w:rsid w:val="00135639"/>
    <w:rsid w:val="00140EDB"/>
    <w:rsid w:val="0014688F"/>
    <w:rsid w:val="00150DC0"/>
    <w:rsid w:val="001563E1"/>
    <w:rsid w:val="00156CD4"/>
    <w:rsid w:val="0016153B"/>
    <w:rsid w:val="00162207"/>
    <w:rsid w:val="00164A3E"/>
    <w:rsid w:val="00166FF6"/>
    <w:rsid w:val="00176123"/>
    <w:rsid w:val="00181620"/>
    <w:rsid w:val="00187130"/>
    <w:rsid w:val="001943BD"/>
    <w:rsid w:val="001957AD"/>
    <w:rsid w:val="00196F8E"/>
    <w:rsid w:val="001A2B7F"/>
    <w:rsid w:val="001A3AFD"/>
    <w:rsid w:val="001A496C"/>
    <w:rsid w:val="001A576A"/>
    <w:rsid w:val="001B28DA"/>
    <w:rsid w:val="001B2B6C"/>
    <w:rsid w:val="001B3C72"/>
    <w:rsid w:val="001D01C4"/>
    <w:rsid w:val="001D4F99"/>
    <w:rsid w:val="001D52B0"/>
    <w:rsid w:val="001D5A18"/>
    <w:rsid w:val="001D7CA4"/>
    <w:rsid w:val="001E057F"/>
    <w:rsid w:val="001E14EB"/>
    <w:rsid w:val="001F59E6"/>
    <w:rsid w:val="00203F1C"/>
    <w:rsid w:val="00206936"/>
    <w:rsid w:val="00206C6F"/>
    <w:rsid w:val="00206FBD"/>
    <w:rsid w:val="00207746"/>
    <w:rsid w:val="00230031"/>
    <w:rsid w:val="00235C01"/>
    <w:rsid w:val="00247343"/>
    <w:rsid w:val="00265C56"/>
    <w:rsid w:val="00266726"/>
    <w:rsid w:val="002716CD"/>
    <w:rsid w:val="00274D4B"/>
    <w:rsid w:val="002806F5"/>
    <w:rsid w:val="00281577"/>
    <w:rsid w:val="002926BC"/>
    <w:rsid w:val="00293A72"/>
    <w:rsid w:val="002A0160"/>
    <w:rsid w:val="002A30C3"/>
    <w:rsid w:val="002A6F6A"/>
    <w:rsid w:val="002A7712"/>
    <w:rsid w:val="002B14E6"/>
    <w:rsid w:val="002B38F7"/>
    <w:rsid w:val="002B4F50"/>
    <w:rsid w:val="002B5591"/>
    <w:rsid w:val="002B5E98"/>
    <w:rsid w:val="002B6AA4"/>
    <w:rsid w:val="002C1FE9"/>
    <w:rsid w:val="002D345A"/>
    <w:rsid w:val="002D3A57"/>
    <w:rsid w:val="002D7D05"/>
    <w:rsid w:val="002E20C8"/>
    <w:rsid w:val="002E4290"/>
    <w:rsid w:val="002E66A6"/>
    <w:rsid w:val="002F0DB1"/>
    <w:rsid w:val="002F2885"/>
    <w:rsid w:val="002F45A1"/>
    <w:rsid w:val="002F525F"/>
    <w:rsid w:val="002F7A1B"/>
    <w:rsid w:val="0030203D"/>
    <w:rsid w:val="003037F9"/>
    <w:rsid w:val="0030583E"/>
    <w:rsid w:val="00307FE1"/>
    <w:rsid w:val="0031250C"/>
    <w:rsid w:val="003164BA"/>
    <w:rsid w:val="003258E6"/>
    <w:rsid w:val="00326BE2"/>
    <w:rsid w:val="00342283"/>
    <w:rsid w:val="00343A87"/>
    <w:rsid w:val="00344A36"/>
    <w:rsid w:val="003456F4"/>
    <w:rsid w:val="00347D57"/>
    <w:rsid w:val="00347FB6"/>
    <w:rsid w:val="003504FD"/>
    <w:rsid w:val="00350881"/>
    <w:rsid w:val="00357D55"/>
    <w:rsid w:val="00363513"/>
    <w:rsid w:val="003657E5"/>
    <w:rsid w:val="0036589C"/>
    <w:rsid w:val="00367820"/>
    <w:rsid w:val="00371312"/>
    <w:rsid w:val="00371DC7"/>
    <w:rsid w:val="00377B21"/>
    <w:rsid w:val="00390CE3"/>
    <w:rsid w:val="00391117"/>
    <w:rsid w:val="00394876"/>
    <w:rsid w:val="00394AAF"/>
    <w:rsid w:val="00394CE5"/>
    <w:rsid w:val="003A6341"/>
    <w:rsid w:val="003B671F"/>
    <w:rsid w:val="003B67FD"/>
    <w:rsid w:val="003B6A61"/>
    <w:rsid w:val="003D0F63"/>
    <w:rsid w:val="003D42C0"/>
    <w:rsid w:val="003D5ACD"/>
    <w:rsid w:val="003D5B29"/>
    <w:rsid w:val="003D7818"/>
    <w:rsid w:val="003E2445"/>
    <w:rsid w:val="003E3BB2"/>
    <w:rsid w:val="003F5B58"/>
    <w:rsid w:val="003F5E77"/>
    <w:rsid w:val="0040222A"/>
    <w:rsid w:val="004047BC"/>
    <w:rsid w:val="004100F7"/>
    <w:rsid w:val="00414CB3"/>
    <w:rsid w:val="0041563D"/>
    <w:rsid w:val="00426E25"/>
    <w:rsid w:val="004272FF"/>
    <w:rsid w:val="00427D9C"/>
    <w:rsid w:val="00427E7E"/>
    <w:rsid w:val="00431359"/>
    <w:rsid w:val="0043465D"/>
    <w:rsid w:val="00443B6E"/>
    <w:rsid w:val="004515F2"/>
    <w:rsid w:val="0045420A"/>
    <w:rsid w:val="004554D4"/>
    <w:rsid w:val="00461744"/>
    <w:rsid w:val="00466185"/>
    <w:rsid w:val="00466303"/>
    <w:rsid w:val="004668A7"/>
    <w:rsid w:val="00466D96"/>
    <w:rsid w:val="00467747"/>
    <w:rsid w:val="00470017"/>
    <w:rsid w:val="0047105A"/>
    <w:rsid w:val="00473C98"/>
    <w:rsid w:val="00474965"/>
    <w:rsid w:val="00482DF8"/>
    <w:rsid w:val="00485BC8"/>
    <w:rsid w:val="004864DE"/>
    <w:rsid w:val="00494BE5"/>
    <w:rsid w:val="004A0EBA"/>
    <w:rsid w:val="004A2538"/>
    <w:rsid w:val="004A331E"/>
    <w:rsid w:val="004A79A8"/>
    <w:rsid w:val="004B0155"/>
    <w:rsid w:val="004B0C15"/>
    <w:rsid w:val="004B35EA"/>
    <w:rsid w:val="004B69E4"/>
    <w:rsid w:val="004C014A"/>
    <w:rsid w:val="004C0217"/>
    <w:rsid w:val="004C3ACC"/>
    <w:rsid w:val="004C687B"/>
    <w:rsid w:val="004C6C39"/>
    <w:rsid w:val="004D075F"/>
    <w:rsid w:val="004D1B76"/>
    <w:rsid w:val="004D344E"/>
    <w:rsid w:val="004E019E"/>
    <w:rsid w:val="004E06EC"/>
    <w:rsid w:val="004E0A3F"/>
    <w:rsid w:val="004E2CB7"/>
    <w:rsid w:val="004F016A"/>
    <w:rsid w:val="00500F94"/>
    <w:rsid w:val="00502FB3"/>
    <w:rsid w:val="00503DE9"/>
    <w:rsid w:val="0050530C"/>
    <w:rsid w:val="00505DEA"/>
    <w:rsid w:val="00507782"/>
    <w:rsid w:val="00510DB5"/>
    <w:rsid w:val="00512A04"/>
    <w:rsid w:val="00520499"/>
    <w:rsid w:val="005249F5"/>
    <w:rsid w:val="005260F7"/>
    <w:rsid w:val="005325F6"/>
    <w:rsid w:val="00543BD1"/>
    <w:rsid w:val="00551AC4"/>
    <w:rsid w:val="00556113"/>
    <w:rsid w:val="0055675D"/>
    <w:rsid w:val="005634DF"/>
    <w:rsid w:val="00564C12"/>
    <w:rsid w:val="005654B8"/>
    <w:rsid w:val="005762CC"/>
    <w:rsid w:val="00582D3D"/>
    <w:rsid w:val="00590040"/>
    <w:rsid w:val="00592E78"/>
    <w:rsid w:val="00595386"/>
    <w:rsid w:val="005968A6"/>
    <w:rsid w:val="00597234"/>
    <w:rsid w:val="005A0C2B"/>
    <w:rsid w:val="005A4AC0"/>
    <w:rsid w:val="005A5FDF"/>
    <w:rsid w:val="005B0FB7"/>
    <w:rsid w:val="005B122A"/>
    <w:rsid w:val="005B1FCB"/>
    <w:rsid w:val="005B5AC2"/>
    <w:rsid w:val="005C2833"/>
    <w:rsid w:val="005E144D"/>
    <w:rsid w:val="005E1500"/>
    <w:rsid w:val="005E3A43"/>
    <w:rsid w:val="005E3FC4"/>
    <w:rsid w:val="005F0B17"/>
    <w:rsid w:val="005F77C7"/>
    <w:rsid w:val="00620675"/>
    <w:rsid w:val="00622910"/>
    <w:rsid w:val="006254B6"/>
    <w:rsid w:val="00627FC8"/>
    <w:rsid w:val="00642933"/>
    <w:rsid w:val="006433C3"/>
    <w:rsid w:val="00650F5B"/>
    <w:rsid w:val="006556B8"/>
    <w:rsid w:val="00656C31"/>
    <w:rsid w:val="0066103A"/>
    <w:rsid w:val="006670D7"/>
    <w:rsid w:val="006719EA"/>
    <w:rsid w:val="00671F13"/>
    <w:rsid w:val="0067400A"/>
    <w:rsid w:val="006847AD"/>
    <w:rsid w:val="0069114B"/>
    <w:rsid w:val="006944C1"/>
    <w:rsid w:val="006A2F2D"/>
    <w:rsid w:val="006A756A"/>
    <w:rsid w:val="006C3082"/>
    <w:rsid w:val="006D66F7"/>
    <w:rsid w:val="006F48CD"/>
    <w:rsid w:val="00705C9D"/>
    <w:rsid w:val="00705F13"/>
    <w:rsid w:val="00712093"/>
    <w:rsid w:val="00714F1D"/>
    <w:rsid w:val="00715225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4619E"/>
    <w:rsid w:val="00750D2F"/>
    <w:rsid w:val="00755248"/>
    <w:rsid w:val="0076190B"/>
    <w:rsid w:val="00763448"/>
    <w:rsid w:val="0076355D"/>
    <w:rsid w:val="00763A2D"/>
    <w:rsid w:val="007670BC"/>
    <w:rsid w:val="007676A4"/>
    <w:rsid w:val="007742D7"/>
    <w:rsid w:val="00777795"/>
    <w:rsid w:val="00783A57"/>
    <w:rsid w:val="00784C92"/>
    <w:rsid w:val="007859CD"/>
    <w:rsid w:val="00785C24"/>
    <w:rsid w:val="007907E4"/>
    <w:rsid w:val="00796461"/>
    <w:rsid w:val="007A6A4F"/>
    <w:rsid w:val="007B03F5"/>
    <w:rsid w:val="007B5C09"/>
    <w:rsid w:val="007B5DA2"/>
    <w:rsid w:val="007C0966"/>
    <w:rsid w:val="007C19E7"/>
    <w:rsid w:val="007C5CFD"/>
    <w:rsid w:val="007C6D9F"/>
    <w:rsid w:val="007D4893"/>
    <w:rsid w:val="007D73B3"/>
    <w:rsid w:val="007E128D"/>
    <w:rsid w:val="007E70CF"/>
    <w:rsid w:val="007E74A4"/>
    <w:rsid w:val="007F1B6F"/>
    <w:rsid w:val="007F263F"/>
    <w:rsid w:val="008015A8"/>
    <w:rsid w:val="0080766E"/>
    <w:rsid w:val="008078A0"/>
    <w:rsid w:val="00811169"/>
    <w:rsid w:val="00815297"/>
    <w:rsid w:val="008170DB"/>
    <w:rsid w:val="00817BA1"/>
    <w:rsid w:val="00823022"/>
    <w:rsid w:val="0082634E"/>
    <w:rsid w:val="008313C4"/>
    <w:rsid w:val="00835434"/>
    <w:rsid w:val="008358C0"/>
    <w:rsid w:val="00837842"/>
    <w:rsid w:val="00842838"/>
    <w:rsid w:val="00854EC1"/>
    <w:rsid w:val="0085797F"/>
    <w:rsid w:val="00861DC3"/>
    <w:rsid w:val="00867019"/>
    <w:rsid w:val="00872EF1"/>
    <w:rsid w:val="008735A9"/>
    <w:rsid w:val="00877BC5"/>
    <w:rsid w:val="00877D20"/>
    <w:rsid w:val="00881C48"/>
    <w:rsid w:val="00885B80"/>
    <w:rsid w:val="00885C30"/>
    <w:rsid w:val="00885E9B"/>
    <w:rsid w:val="00893C96"/>
    <w:rsid w:val="0089500A"/>
    <w:rsid w:val="00897C94"/>
    <w:rsid w:val="008A7C12"/>
    <w:rsid w:val="008B03CE"/>
    <w:rsid w:val="008B529E"/>
    <w:rsid w:val="008C0D34"/>
    <w:rsid w:val="008C17FB"/>
    <w:rsid w:val="008C70BB"/>
    <w:rsid w:val="008D1B00"/>
    <w:rsid w:val="008D278B"/>
    <w:rsid w:val="008D57B8"/>
    <w:rsid w:val="008E03FC"/>
    <w:rsid w:val="008E510B"/>
    <w:rsid w:val="008F30DE"/>
    <w:rsid w:val="008F422B"/>
    <w:rsid w:val="00901430"/>
    <w:rsid w:val="009017BF"/>
    <w:rsid w:val="00902B13"/>
    <w:rsid w:val="00906EE6"/>
    <w:rsid w:val="00911941"/>
    <w:rsid w:val="00914C94"/>
    <w:rsid w:val="009174BB"/>
    <w:rsid w:val="0092024D"/>
    <w:rsid w:val="00925146"/>
    <w:rsid w:val="009258C9"/>
    <w:rsid w:val="00925F0F"/>
    <w:rsid w:val="00932F6B"/>
    <w:rsid w:val="009468BC"/>
    <w:rsid w:val="00947FAE"/>
    <w:rsid w:val="00953762"/>
    <w:rsid w:val="00955C0D"/>
    <w:rsid w:val="00960586"/>
    <w:rsid w:val="009616DF"/>
    <w:rsid w:val="00962E48"/>
    <w:rsid w:val="00963E4F"/>
    <w:rsid w:val="0096542F"/>
    <w:rsid w:val="00967FA7"/>
    <w:rsid w:val="00971645"/>
    <w:rsid w:val="00977919"/>
    <w:rsid w:val="009812CC"/>
    <w:rsid w:val="00983000"/>
    <w:rsid w:val="009870FA"/>
    <w:rsid w:val="009921C3"/>
    <w:rsid w:val="009931A1"/>
    <w:rsid w:val="00993A87"/>
    <w:rsid w:val="0099551D"/>
    <w:rsid w:val="00996655"/>
    <w:rsid w:val="009A546E"/>
    <w:rsid w:val="009A5897"/>
    <w:rsid w:val="009A5F24"/>
    <w:rsid w:val="009B0B3E"/>
    <w:rsid w:val="009B1913"/>
    <w:rsid w:val="009B6657"/>
    <w:rsid w:val="009B6966"/>
    <w:rsid w:val="009D0EB5"/>
    <w:rsid w:val="009D14F9"/>
    <w:rsid w:val="009D2B74"/>
    <w:rsid w:val="009D63FF"/>
    <w:rsid w:val="009E175D"/>
    <w:rsid w:val="009E3CC2"/>
    <w:rsid w:val="009E45A7"/>
    <w:rsid w:val="009F06BD"/>
    <w:rsid w:val="009F2A4D"/>
    <w:rsid w:val="00A00828"/>
    <w:rsid w:val="00A03290"/>
    <w:rsid w:val="00A0387E"/>
    <w:rsid w:val="00A05BFD"/>
    <w:rsid w:val="00A07490"/>
    <w:rsid w:val="00A10655"/>
    <w:rsid w:val="00A12B64"/>
    <w:rsid w:val="00A1413B"/>
    <w:rsid w:val="00A22C38"/>
    <w:rsid w:val="00A25193"/>
    <w:rsid w:val="00A262AA"/>
    <w:rsid w:val="00A26E80"/>
    <w:rsid w:val="00A31AE8"/>
    <w:rsid w:val="00A3739D"/>
    <w:rsid w:val="00A37DDA"/>
    <w:rsid w:val="00A45005"/>
    <w:rsid w:val="00A55A62"/>
    <w:rsid w:val="00A60852"/>
    <w:rsid w:val="00A66857"/>
    <w:rsid w:val="00A76790"/>
    <w:rsid w:val="00A816E5"/>
    <w:rsid w:val="00A925EC"/>
    <w:rsid w:val="00A929AA"/>
    <w:rsid w:val="00A92B6B"/>
    <w:rsid w:val="00AA1925"/>
    <w:rsid w:val="00AA541E"/>
    <w:rsid w:val="00AB5413"/>
    <w:rsid w:val="00AD0DA4"/>
    <w:rsid w:val="00AD4169"/>
    <w:rsid w:val="00AE25C6"/>
    <w:rsid w:val="00AE306C"/>
    <w:rsid w:val="00AF28C1"/>
    <w:rsid w:val="00B02EF1"/>
    <w:rsid w:val="00B07C97"/>
    <w:rsid w:val="00B11C67"/>
    <w:rsid w:val="00B15754"/>
    <w:rsid w:val="00B2046E"/>
    <w:rsid w:val="00B20E8B"/>
    <w:rsid w:val="00B257E1"/>
    <w:rsid w:val="00B2599A"/>
    <w:rsid w:val="00B27AC4"/>
    <w:rsid w:val="00B343CC"/>
    <w:rsid w:val="00B46D05"/>
    <w:rsid w:val="00B5084A"/>
    <w:rsid w:val="00B606A1"/>
    <w:rsid w:val="00B614F7"/>
    <w:rsid w:val="00B61B26"/>
    <w:rsid w:val="00B65E6B"/>
    <w:rsid w:val="00B675B2"/>
    <w:rsid w:val="00B81261"/>
    <w:rsid w:val="00B8223E"/>
    <w:rsid w:val="00B832AE"/>
    <w:rsid w:val="00B86678"/>
    <w:rsid w:val="00B87BBA"/>
    <w:rsid w:val="00B92F9B"/>
    <w:rsid w:val="00B93DB1"/>
    <w:rsid w:val="00B941B3"/>
    <w:rsid w:val="00B96513"/>
    <w:rsid w:val="00B967B2"/>
    <w:rsid w:val="00B9789C"/>
    <w:rsid w:val="00BA1D47"/>
    <w:rsid w:val="00BA66F0"/>
    <w:rsid w:val="00BB2239"/>
    <w:rsid w:val="00BB2AE7"/>
    <w:rsid w:val="00BB6464"/>
    <w:rsid w:val="00BC1BB8"/>
    <w:rsid w:val="00BD7FE1"/>
    <w:rsid w:val="00BE37CA"/>
    <w:rsid w:val="00BE6144"/>
    <w:rsid w:val="00BE635A"/>
    <w:rsid w:val="00BF17E9"/>
    <w:rsid w:val="00BF2ABB"/>
    <w:rsid w:val="00BF5099"/>
    <w:rsid w:val="00BF54B1"/>
    <w:rsid w:val="00C0326E"/>
    <w:rsid w:val="00C10F10"/>
    <w:rsid w:val="00C15D4D"/>
    <w:rsid w:val="00C175DC"/>
    <w:rsid w:val="00C20730"/>
    <w:rsid w:val="00C30171"/>
    <w:rsid w:val="00C309D8"/>
    <w:rsid w:val="00C322B4"/>
    <w:rsid w:val="00C357F6"/>
    <w:rsid w:val="00C43519"/>
    <w:rsid w:val="00C45263"/>
    <w:rsid w:val="00C51537"/>
    <w:rsid w:val="00C52BC3"/>
    <w:rsid w:val="00C55B5A"/>
    <w:rsid w:val="00C61AFA"/>
    <w:rsid w:val="00C61D64"/>
    <w:rsid w:val="00C62099"/>
    <w:rsid w:val="00C6488E"/>
    <w:rsid w:val="00C64EA3"/>
    <w:rsid w:val="00C72867"/>
    <w:rsid w:val="00C75E81"/>
    <w:rsid w:val="00C86609"/>
    <w:rsid w:val="00C92B4C"/>
    <w:rsid w:val="00C92C5E"/>
    <w:rsid w:val="00C954F6"/>
    <w:rsid w:val="00CA36A0"/>
    <w:rsid w:val="00CA65E1"/>
    <w:rsid w:val="00CA6BC5"/>
    <w:rsid w:val="00CC571B"/>
    <w:rsid w:val="00CC61CD"/>
    <w:rsid w:val="00CC6C02"/>
    <w:rsid w:val="00CC737B"/>
    <w:rsid w:val="00CD5011"/>
    <w:rsid w:val="00CD6728"/>
    <w:rsid w:val="00CE640F"/>
    <w:rsid w:val="00CE76BC"/>
    <w:rsid w:val="00CF540E"/>
    <w:rsid w:val="00D02F07"/>
    <w:rsid w:val="00D03DFA"/>
    <w:rsid w:val="00D13CE6"/>
    <w:rsid w:val="00D15D88"/>
    <w:rsid w:val="00D27EBE"/>
    <w:rsid w:val="00D36A49"/>
    <w:rsid w:val="00D517C6"/>
    <w:rsid w:val="00D61FD1"/>
    <w:rsid w:val="00D71D84"/>
    <w:rsid w:val="00D72464"/>
    <w:rsid w:val="00D72A57"/>
    <w:rsid w:val="00D768EB"/>
    <w:rsid w:val="00D81E17"/>
    <w:rsid w:val="00D82D1E"/>
    <w:rsid w:val="00D832D9"/>
    <w:rsid w:val="00D90F00"/>
    <w:rsid w:val="00D975C0"/>
    <w:rsid w:val="00DA39E0"/>
    <w:rsid w:val="00DA5285"/>
    <w:rsid w:val="00DB191D"/>
    <w:rsid w:val="00DB4F91"/>
    <w:rsid w:val="00DB6D0A"/>
    <w:rsid w:val="00DC06BE"/>
    <w:rsid w:val="00DC1F0F"/>
    <w:rsid w:val="00DC3117"/>
    <w:rsid w:val="00DC5DD9"/>
    <w:rsid w:val="00DC6D2D"/>
    <w:rsid w:val="00DD30E2"/>
    <w:rsid w:val="00DD4E59"/>
    <w:rsid w:val="00DE33B5"/>
    <w:rsid w:val="00DE5E18"/>
    <w:rsid w:val="00DF0487"/>
    <w:rsid w:val="00DF5EA4"/>
    <w:rsid w:val="00E02681"/>
    <w:rsid w:val="00E02792"/>
    <w:rsid w:val="00E034D8"/>
    <w:rsid w:val="00E04CC0"/>
    <w:rsid w:val="00E152A3"/>
    <w:rsid w:val="00E15816"/>
    <w:rsid w:val="00E160D5"/>
    <w:rsid w:val="00E218F0"/>
    <w:rsid w:val="00E239FF"/>
    <w:rsid w:val="00E27336"/>
    <w:rsid w:val="00E27D7B"/>
    <w:rsid w:val="00E30556"/>
    <w:rsid w:val="00E30981"/>
    <w:rsid w:val="00E33130"/>
    <w:rsid w:val="00E33136"/>
    <w:rsid w:val="00E34D7C"/>
    <w:rsid w:val="00E36941"/>
    <w:rsid w:val="00E3723D"/>
    <w:rsid w:val="00E44B8A"/>
    <w:rsid w:val="00E44C89"/>
    <w:rsid w:val="00E457A6"/>
    <w:rsid w:val="00E52375"/>
    <w:rsid w:val="00E61BA2"/>
    <w:rsid w:val="00E63864"/>
    <w:rsid w:val="00E6403F"/>
    <w:rsid w:val="00E75451"/>
    <w:rsid w:val="00E770C4"/>
    <w:rsid w:val="00E77ED4"/>
    <w:rsid w:val="00E84C5A"/>
    <w:rsid w:val="00E861DB"/>
    <w:rsid w:val="00E86711"/>
    <w:rsid w:val="00E908F1"/>
    <w:rsid w:val="00E93406"/>
    <w:rsid w:val="00E9402C"/>
    <w:rsid w:val="00E956C5"/>
    <w:rsid w:val="00E95C39"/>
    <w:rsid w:val="00EA2C39"/>
    <w:rsid w:val="00EB0A3C"/>
    <w:rsid w:val="00EB0A96"/>
    <w:rsid w:val="00EB164C"/>
    <w:rsid w:val="00EB1D82"/>
    <w:rsid w:val="00EB77F9"/>
    <w:rsid w:val="00EC46CB"/>
    <w:rsid w:val="00EC5769"/>
    <w:rsid w:val="00EC704E"/>
    <w:rsid w:val="00EC7D00"/>
    <w:rsid w:val="00ED0304"/>
    <w:rsid w:val="00ED1EA1"/>
    <w:rsid w:val="00ED5B7B"/>
    <w:rsid w:val="00ED6E50"/>
    <w:rsid w:val="00EE38FA"/>
    <w:rsid w:val="00EE3E2C"/>
    <w:rsid w:val="00EE5D23"/>
    <w:rsid w:val="00EE750D"/>
    <w:rsid w:val="00EF3CA4"/>
    <w:rsid w:val="00EF7362"/>
    <w:rsid w:val="00EF7859"/>
    <w:rsid w:val="00F00DE7"/>
    <w:rsid w:val="00F014DA"/>
    <w:rsid w:val="00F02591"/>
    <w:rsid w:val="00F1530D"/>
    <w:rsid w:val="00F27579"/>
    <w:rsid w:val="00F5696E"/>
    <w:rsid w:val="00F60EFF"/>
    <w:rsid w:val="00F67D2D"/>
    <w:rsid w:val="00F80D80"/>
    <w:rsid w:val="00F858F2"/>
    <w:rsid w:val="00F860CC"/>
    <w:rsid w:val="00F94398"/>
    <w:rsid w:val="00FB2B56"/>
    <w:rsid w:val="00FB55D5"/>
    <w:rsid w:val="00FB59F4"/>
    <w:rsid w:val="00FC12BF"/>
    <w:rsid w:val="00FC2C60"/>
    <w:rsid w:val="00FD3E6F"/>
    <w:rsid w:val="00FD51B9"/>
    <w:rsid w:val="00FD5849"/>
    <w:rsid w:val="00FE2A39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F8C10F"/>
  <w15:docId w15:val="{1924A0DA-9533-44E7-9F36-0BB6BB8A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FD1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996655"/>
    <w:pPr>
      <w:keepNext/>
      <w:keepLines/>
      <w:spacing w:before="240"/>
      <w:outlineLvl w:val="1"/>
    </w:pPr>
    <w:rPr>
      <w:rFonts w:ascii="Lato Semibold" w:eastAsia="Times New Roman" w:hAnsi="Lato Semibold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996655"/>
    <w:pPr>
      <w:keepNext/>
      <w:keepLines/>
      <w:spacing w:before="240"/>
      <w:outlineLvl w:val="2"/>
    </w:pPr>
    <w:rPr>
      <w:rFonts w:ascii="Lato Semibold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996655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996655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D61FD1"/>
    <w:pPr>
      <w:spacing w:after="800"/>
    </w:pPr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D61FD1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996655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8C0D34"/>
    <w:pPr>
      <w:tabs>
        <w:tab w:val="right" w:pos="9638"/>
      </w:tabs>
      <w:spacing w:after="240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8C0D3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rsid w:val="00E44B8A"/>
    <w:pPr>
      <w:numPr>
        <w:ilvl w:val="1"/>
      </w:numPr>
      <w:spacing w:after="160"/>
      <w:jc w:val="right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996655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qFormat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aption">
    <w:name w:val="caption"/>
    <w:basedOn w:val="Normal"/>
    <w:next w:val="Normal"/>
    <w:uiPriority w:val="8"/>
    <w:rsid w:val="00996655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C0326E"/>
    <w:pPr>
      <w:spacing w:after="0"/>
    </w:pPr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table" w:customStyle="1" w:styleId="NTGmeetingagendatable">
    <w:name w:val="NTG meeting agenda table"/>
    <w:basedOn w:val="TableNormal"/>
    <w:uiPriority w:val="99"/>
    <w:rsid w:val="00B87BBA"/>
    <w:pPr>
      <w:spacing w:before="40" w:after="40"/>
    </w:pPr>
    <w:rPr>
      <w:rFonts w:ascii="Lato" w:hAnsi="Lato"/>
    </w:rPr>
    <w:tblPr>
      <w:tblStyleRow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V w:val="single" w:sz="4" w:space="0" w:color="1F1F5F" w:themeColor="text1"/>
      </w:tblBorders>
    </w:tblPr>
    <w:tcPr>
      <w:vAlign w:val="center"/>
    </w:tcPr>
    <w:tblStylePr w:type="firstRow">
      <w:rPr>
        <w:b/>
      </w:rPr>
      <w:tblPr/>
      <w:trPr>
        <w:tblHeader/>
      </w:trPr>
      <w:tcPr>
        <w:shd w:val="clear" w:color="auto" w:fill="1F1F5F" w:themeFill="text1"/>
      </w:tcPr>
    </w:tblStylePr>
    <w:tblStylePr w:type="firstCol">
      <w:rPr>
        <w:b/>
      </w:rPr>
      <w:tblPr/>
      <w:tcPr>
        <w:shd w:val="clear" w:color="auto" w:fill="1F1F5F" w:themeFill="text1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E152A3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52A3"/>
    <w:rPr>
      <w:rFonts w:ascii="Lato" w:hAnsi="Lato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152A3"/>
    <w:rPr>
      <w:vertAlign w:val="superscript"/>
    </w:rPr>
  </w:style>
  <w:style w:type="table" w:styleId="ListTable3">
    <w:name w:val="List Table 3"/>
    <w:basedOn w:val="TableNormal"/>
    <w:uiPriority w:val="48"/>
    <w:rsid w:val="00C6488E"/>
    <w:pPr>
      <w:spacing w:after="0"/>
    </w:p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F1F5F" w:themeFill="text1"/>
      </w:tcPr>
    </w:tblStylePr>
    <w:tblStylePr w:type="lastRow">
      <w:rPr>
        <w:b/>
        <w:bCs/>
      </w:rPr>
      <w:tblPr/>
      <w:tcPr>
        <w:tcBorders>
          <w:top w:val="double" w:sz="4" w:space="0" w:color="1F1F5F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F1F5F" w:themeColor="text1"/>
          <w:right w:val="single" w:sz="4" w:space="0" w:color="1F1F5F" w:themeColor="text1"/>
        </w:tcBorders>
      </w:tcPr>
    </w:tblStylePr>
    <w:tblStylePr w:type="band1Horz">
      <w:tblPr/>
      <w:tcPr>
        <w:tcBorders>
          <w:top w:val="single" w:sz="4" w:space="0" w:color="1F1F5F" w:themeColor="text1"/>
          <w:bottom w:val="single" w:sz="4" w:space="0" w:color="1F1F5F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F1F5F" w:themeColor="text1"/>
          <w:left w:val="nil"/>
        </w:tcBorders>
      </w:tcPr>
    </w:tblStylePr>
    <w:tblStylePr w:type="swCell">
      <w:tblPr/>
      <w:tcPr>
        <w:tcBorders>
          <w:top w:val="double" w:sz="4" w:space="0" w:color="1F1F5F" w:themeColor="text1"/>
          <w:right w:val="nil"/>
        </w:tcBorders>
      </w:tcPr>
    </w:tblStylePr>
  </w:style>
  <w:style w:type="paragraph" w:styleId="Revision">
    <w:name w:val="Revision"/>
    <w:hidden/>
    <w:uiPriority w:val="99"/>
    <w:semiHidden/>
    <w:rsid w:val="00431359"/>
    <w:pPr>
      <w:spacing w:after="0"/>
    </w:pPr>
    <w:rPr>
      <w:rFonts w:ascii="Lato" w:hAnsi="La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cid:image002.png@01DB7300.DE53CDF0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.gif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burc\Downloads\ntg-fact-sheet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brier\Downloads\Table%20-%20Catch,%20Effort%20&amp;%20CPUE%20(56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\\prod.main.ntgov\NTG\DITT\Fisheries\Management\Barramundi%20Fishery\Commercial%20Fishery\Fishery%20Summary%202024\Effort%20limit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Sheet1!$C$1</c:f>
              <c:strCache>
                <c:ptCount val="1"/>
                <c:pt idx="0">
                  <c:v>Barramundi</c:v>
                </c:pt>
              </c:strCache>
            </c:strRef>
          </c:tx>
          <c:spPr>
            <a:solidFill>
              <a:schemeClr val="tx2"/>
            </a:solidFill>
            <a:ln>
              <a:noFill/>
            </a:ln>
            <a:effectLst/>
          </c:spPr>
          <c:invertIfNegative val="0"/>
          <c:cat>
            <c:numRef>
              <c:f>Sheet1!$A$2:$A$45</c:f>
              <c:numCache>
                <c:formatCode>0</c:formatCode>
                <c:ptCount val="44"/>
                <c:pt idx="0">
                  <c:v>1983</c:v>
                </c:pt>
                <c:pt idx="1">
                  <c:v>1984</c:v>
                </c:pt>
                <c:pt idx="2">
                  <c:v>1985</c:v>
                </c:pt>
                <c:pt idx="3">
                  <c:v>1986</c:v>
                </c:pt>
                <c:pt idx="4">
                  <c:v>1987</c:v>
                </c:pt>
                <c:pt idx="5">
                  <c:v>1988</c:v>
                </c:pt>
                <c:pt idx="6">
                  <c:v>1989</c:v>
                </c:pt>
                <c:pt idx="7">
                  <c:v>1990</c:v>
                </c:pt>
                <c:pt idx="8">
                  <c:v>1991</c:v>
                </c:pt>
                <c:pt idx="9">
                  <c:v>1992</c:v>
                </c:pt>
                <c:pt idx="10">
                  <c:v>1993</c:v>
                </c:pt>
                <c:pt idx="11">
                  <c:v>1994</c:v>
                </c:pt>
                <c:pt idx="12">
                  <c:v>1995</c:v>
                </c:pt>
                <c:pt idx="13">
                  <c:v>1996</c:v>
                </c:pt>
                <c:pt idx="14">
                  <c:v>1997</c:v>
                </c:pt>
                <c:pt idx="15">
                  <c:v>1998</c:v>
                </c:pt>
                <c:pt idx="16">
                  <c:v>1999</c:v>
                </c:pt>
                <c:pt idx="17">
                  <c:v>2000</c:v>
                </c:pt>
                <c:pt idx="18">
                  <c:v>2001</c:v>
                </c:pt>
                <c:pt idx="19">
                  <c:v>2002</c:v>
                </c:pt>
                <c:pt idx="20">
                  <c:v>2003</c:v>
                </c:pt>
                <c:pt idx="21">
                  <c:v>2004</c:v>
                </c:pt>
                <c:pt idx="22">
                  <c:v>2005</c:v>
                </c:pt>
                <c:pt idx="23">
                  <c:v>2006</c:v>
                </c:pt>
                <c:pt idx="24">
                  <c:v>2007</c:v>
                </c:pt>
                <c:pt idx="25">
                  <c:v>2008</c:v>
                </c:pt>
                <c:pt idx="26">
                  <c:v>2009</c:v>
                </c:pt>
                <c:pt idx="27">
                  <c:v>2010</c:v>
                </c:pt>
                <c:pt idx="28">
                  <c:v>2011</c:v>
                </c:pt>
                <c:pt idx="29">
                  <c:v>2012</c:v>
                </c:pt>
                <c:pt idx="30">
                  <c:v>2013</c:v>
                </c:pt>
                <c:pt idx="31">
                  <c:v>2014</c:v>
                </c:pt>
                <c:pt idx="32">
                  <c:v>2015</c:v>
                </c:pt>
                <c:pt idx="33">
                  <c:v>2016</c:v>
                </c:pt>
                <c:pt idx="34">
                  <c:v>2017</c:v>
                </c:pt>
                <c:pt idx="35">
                  <c:v>2018</c:v>
                </c:pt>
                <c:pt idx="36">
                  <c:v>2019</c:v>
                </c:pt>
                <c:pt idx="37">
                  <c:v>2020</c:v>
                </c:pt>
                <c:pt idx="38">
                  <c:v>2021</c:v>
                </c:pt>
                <c:pt idx="39">
                  <c:v>2022</c:v>
                </c:pt>
                <c:pt idx="40">
                  <c:v>2023</c:v>
                </c:pt>
                <c:pt idx="41">
                  <c:v>2024</c:v>
                </c:pt>
              </c:numCache>
            </c:numRef>
          </c:cat>
          <c:val>
            <c:numRef>
              <c:f>Sheet1!$C$2:$C$45</c:f>
              <c:numCache>
                <c:formatCode>#,##0</c:formatCode>
                <c:ptCount val="44"/>
                <c:pt idx="0">
                  <c:v>607.61746666666602</c:v>
                </c:pt>
                <c:pt idx="1">
                  <c:v>631.85625000000005</c:v>
                </c:pt>
                <c:pt idx="2">
                  <c:v>591.64075000000003</c:v>
                </c:pt>
                <c:pt idx="3">
                  <c:v>540.71675000000005</c:v>
                </c:pt>
                <c:pt idx="4">
                  <c:v>504.66399999999999</c:v>
                </c:pt>
                <c:pt idx="5">
                  <c:v>508.02258333333305</c:v>
                </c:pt>
                <c:pt idx="6">
                  <c:v>598.94375000000002</c:v>
                </c:pt>
                <c:pt idx="7">
                  <c:v>453.55283333333301</c:v>
                </c:pt>
                <c:pt idx="8">
                  <c:v>433.07774999999998</c:v>
                </c:pt>
                <c:pt idx="9">
                  <c:v>389.04233333333303</c:v>
                </c:pt>
                <c:pt idx="10">
                  <c:v>451.35933333333304</c:v>
                </c:pt>
                <c:pt idx="11">
                  <c:v>448.13591666666696</c:v>
                </c:pt>
                <c:pt idx="12">
                  <c:v>494.909516666667</c:v>
                </c:pt>
                <c:pt idx="13">
                  <c:v>542.19733333333306</c:v>
                </c:pt>
                <c:pt idx="14">
                  <c:v>552.62856666666698</c:v>
                </c:pt>
                <c:pt idx="15">
                  <c:v>621.96121666666704</c:v>
                </c:pt>
                <c:pt idx="16">
                  <c:v>804.76431666666701</c:v>
                </c:pt>
                <c:pt idx="17">
                  <c:v>825.08730000000003</c:v>
                </c:pt>
                <c:pt idx="18">
                  <c:v>1004.2890500000001</c:v>
                </c:pt>
                <c:pt idx="19">
                  <c:v>741.02261666666709</c:v>
                </c:pt>
                <c:pt idx="20">
                  <c:v>660.61726666666698</c:v>
                </c:pt>
                <c:pt idx="21">
                  <c:v>677.86508333333302</c:v>
                </c:pt>
                <c:pt idx="22">
                  <c:v>552.39308333333304</c:v>
                </c:pt>
                <c:pt idx="23">
                  <c:v>644.57815000000005</c:v>
                </c:pt>
                <c:pt idx="24">
                  <c:v>492.47003333333299</c:v>
                </c:pt>
                <c:pt idx="25">
                  <c:v>641.40210000000002</c:v>
                </c:pt>
                <c:pt idx="26">
                  <c:v>614.91218333333302</c:v>
                </c:pt>
                <c:pt idx="27">
                  <c:v>625.53626666666696</c:v>
                </c:pt>
                <c:pt idx="28">
                  <c:v>711.90700000000004</c:v>
                </c:pt>
                <c:pt idx="29">
                  <c:v>722.49684999999999</c:v>
                </c:pt>
                <c:pt idx="30">
                  <c:v>435.72788333333301</c:v>
                </c:pt>
                <c:pt idx="31">
                  <c:v>408.90409999999997</c:v>
                </c:pt>
                <c:pt idx="32">
                  <c:v>380.68183333333303</c:v>
                </c:pt>
                <c:pt idx="33">
                  <c:v>305.09286666666696</c:v>
                </c:pt>
                <c:pt idx="34">
                  <c:v>392.64716666666698</c:v>
                </c:pt>
                <c:pt idx="35">
                  <c:v>277.00946666666704</c:v>
                </c:pt>
                <c:pt idx="36">
                  <c:v>275.789733333333</c:v>
                </c:pt>
                <c:pt idx="37">
                  <c:v>210.90561666666699</c:v>
                </c:pt>
                <c:pt idx="38">
                  <c:v>258.07765000000001</c:v>
                </c:pt>
                <c:pt idx="39">
                  <c:v>175.694433333333</c:v>
                </c:pt>
                <c:pt idx="40">
                  <c:v>161.204833333333</c:v>
                </c:pt>
                <c:pt idx="41">
                  <c:v>101.19733333333299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6AF-4087-9396-B82B7B9C09FF}"/>
            </c:ext>
          </c:extLst>
        </c:ser>
        <c:ser>
          <c:idx val="1"/>
          <c:order val="1"/>
          <c:tx>
            <c:strRef>
              <c:f>Sheet1!$E$1</c:f>
              <c:strCache>
                <c:ptCount val="1"/>
                <c:pt idx="0">
                  <c:v>King Threadfin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Sheet1!$A$2:$A$45</c:f>
              <c:numCache>
                <c:formatCode>0</c:formatCode>
                <c:ptCount val="44"/>
                <c:pt idx="0">
                  <c:v>1983</c:v>
                </c:pt>
                <c:pt idx="1">
                  <c:v>1984</c:v>
                </c:pt>
                <c:pt idx="2">
                  <c:v>1985</c:v>
                </c:pt>
                <c:pt idx="3">
                  <c:v>1986</c:v>
                </c:pt>
                <c:pt idx="4">
                  <c:v>1987</c:v>
                </c:pt>
                <c:pt idx="5">
                  <c:v>1988</c:v>
                </c:pt>
                <c:pt idx="6">
                  <c:v>1989</c:v>
                </c:pt>
                <c:pt idx="7">
                  <c:v>1990</c:v>
                </c:pt>
                <c:pt idx="8">
                  <c:v>1991</c:v>
                </c:pt>
                <c:pt idx="9">
                  <c:v>1992</c:v>
                </c:pt>
                <c:pt idx="10">
                  <c:v>1993</c:v>
                </c:pt>
                <c:pt idx="11">
                  <c:v>1994</c:v>
                </c:pt>
                <c:pt idx="12">
                  <c:v>1995</c:v>
                </c:pt>
                <c:pt idx="13">
                  <c:v>1996</c:v>
                </c:pt>
                <c:pt idx="14">
                  <c:v>1997</c:v>
                </c:pt>
                <c:pt idx="15">
                  <c:v>1998</c:v>
                </c:pt>
                <c:pt idx="16">
                  <c:v>1999</c:v>
                </c:pt>
                <c:pt idx="17">
                  <c:v>2000</c:v>
                </c:pt>
                <c:pt idx="18">
                  <c:v>2001</c:v>
                </c:pt>
                <c:pt idx="19">
                  <c:v>2002</c:v>
                </c:pt>
                <c:pt idx="20">
                  <c:v>2003</c:v>
                </c:pt>
                <c:pt idx="21">
                  <c:v>2004</c:v>
                </c:pt>
                <c:pt idx="22">
                  <c:v>2005</c:v>
                </c:pt>
                <c:pt idx="23">
                  <c:v>2006</c:v>
                </c:pt>
                <c:pt idx="24">
                  <c:v>2007</c:v>
                </c:pt>
                <c:pt idx="25">
                  <c:v>2008</c:v>
                </c:pt>
                <c:pt idx="26">
                  <c:v>2009</c:v>
                </c:pt>
                <c:pt idx="27">
                  <c:v>2010</c:v>
                </c:pt>
                <c:pt idx="28">
                  <c:v>2011</c:v>
                </c:pt>
                <c:pt idx="29">
                  <c:v>2012</c:v>
                </c:pt>
                <c:pt idx="30">
                  <c:v>2013</c:v>
                </c:pt>
                <c:pt idx="31">
                  <c:v>2014</c:v>
                </c:pt>
                <c:pt idx="32">
                  <c:v>2015</c:v>
                </c:pt>
                <c:pt idx="33">
                  <c:v>2016</c:v>
                </c:pt>
                <c:pt idx="34">
                  <c:v>2017</c:v>
                </c:pt>
                <c:pt idx="35">
                  <c:v>2018</c:v>
                </c:pt>
                <c:pt idx="36">
                  <c:v>2019</c:v>
                </c:pt>
                <c:pt idx="37">
                  <c:v>2020</c:v>
                </c:pt>
                <c:pt idx="38">
                  <c:v>2021</c:v>
                </c:pt>
                <c:pt idx="39">
                  <c:v>2022</c:v>
                </c:pt>
                <c:pt idx="40">
                  <c:v>2023</c:v>
                </c:pt>
                <c:pt idx="41">
                  <c:v>2024</c:v>
                </c:pt>
              </c:numCache>
            </c:numRef>
          </c:cat>
          <c:val>
            <c:numRef>
              <c:f>Sheet1!$E$2:$E$45</c:f>
              <c:numCache>
                <c:formatCode>#,##0</c:formatCode>
                <c:ptCount val="44"/>
                <c:pt idx="0">
                  <c:v>460.91223333333301</c:v>
                </c:pt>
                <c:pt idx="1">
                  <c:v>431.9812</c:v>
                </c:pt>
                <c:pt idx="2">
                  <c:v>347.553</c:v>
                </c:pt>
                <c:pt idx="3">
                  <c:v>311.940333333333</c:v>
                </c:pt>
                <c:pt idx="4">
                  <c:v>314.44183333333302</c:v>
                </c:pt>
                <c:pt idx="5">
                  <c:v>270.394833333333</c:v>
                </c:pt>
                <c:pt idx="6">
                  <c:v>209.54466666666701</c:v>
                </c:pt>
                <c:pt idx="7">
                  <c:v>217.66</c:v>
                </c:pt>
                <c:pt idx="8">
                  <c:v>207.31983333333298</c:v>
                </c:pt>
                <c:pt idx="9">
                  <c:v>185.126833333333</c:v>
                </c:pt>
                <c:pt idx="10">
                  <c:v>237.04300000000001</c:v>
                </c:pt>
                <c:pt idx="11">
                  <c:v>166.34266666666701</c:v>
                </c:pt>
                <c:pt idx="12">
                  <c:v>204.75700000000001</c:v>
                </c:pt>
                <c:pt idx="13">
                  <c:v>165.673233333333</c:v>
                </c:pt>
                <c:pt idx="14">
                  <c:v>220.70650000000001</c:v>
                </c:pt>
                <c:pt idx="15">
                  <c:v>269.87416666666599</c:v>
                </c:pt>
                <c:pt idx="16">
                  <c:v>298.91679999999997</c:v>
                </c:pt>
                <c:pt idx="17">
                  <c:v>312.41000000000003</c:v>
                </c:pt>
                <c:pt idx="18">
                  <c:v>393.55246666666596</c:v>
                </c:pt>
                <c:pt idx="19">
                  <c:v>294.05766666666699</c:v>
                </c:pt>
                <c:pt idx="20">
                  <c:v>262.69693333333299</c:v>
                </c:pt>
                <c:pt idx="21">
                  <c:v>376.53513333333302</c:v>
                </c:pt>
                <c:pt idx="22">
                  <c:v>322.86166666666696</c:v>
                </c:pt>
                <c:pt idx="23">
                  <c:v>317.04243333333301</c:v>
                </c:pt>
                <c:pt idx="24">
                  <c:v>356.79640000000001</c:v>
                </c:pt>
                <c:pt idx="25">
                  <c:v>331.18543333333298</c:v>
                </c:pt>
                <c:pt idx="26">
                  <c:v>278.30993333333299</c:v>
                </c:pt>
                <c:pt idx="27">
                  <c:v>293.640966666667</c:v>
                </c:pt>
                <c:pt idx="28">
                  <c:v>326.78786666666701</c:v>
                </c:pt>
                <c:pt idx="29">
                  <c:v>385.37440000000004</c:v>
                </c:pt>
                <c:pt idx="30">
                  <c:v>229.86533333333298</c:v>
                </c:pt>
                <c:pt idx="31">
                  <c:v>210.25629999999998</c:v>
                </c:pt>
                <c:pt idx="32">
                  <c:v>255.0284</c:v>
                </c:pt>
                <c:pt idx="33">
                  <c:v>251.49623333333298</c:v>
                </c:pt>
                <c:pt idx="34">
                  <c:v>296.91550000000001</c:v>
                </c:pt>
                <c:pt idx="35">
                  <c:v>238.29400000000001</c:v>
                </c:pt>
                <c:pt idx="36">
                  <c:v>237.74876666666702</c:v>
                </c:pt>
                <c:pt idx="37">
                  <c:v>144.909333333333</c:v>
                </c:pt>
                <c:pt idx="38">
                  <c:v>184.55410000000001</c:v>
                </c:pt>
                <c:pt idx="39">
                  <c:v>129.14160000000001</c:v>
                </c:pt>
                <c:pt idx="40">
                  <c:v>126.2615</c:v>
                </c:pt>
                <c:pt idx="41">
                  <c:v>52.011000000000003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6AF-4087-9396-B82B7B9C09FF}"/>
            </c:ext>
          </c:extLst>
        </c:ser>
        <c:ser>
          <c:idx val="2"/>
          <c:order val="2"/>
          <c:tx>
            <c:strRef>
              <c:f>Sheet1!$G$1</c:f>
              <c:strCache>
                <c:ptCount val="1"/>
                <c:pt idx="0">
                  <c:v>Other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cat>
            <c:numRef>
              <c:f>Sheet1!$A$2:$A$45</c:f>
              <c:numCache>
                <c:formatCode>0</c:formatCode>
                <c:ptCount val="44"/>
                <c:pt idx="0">
                  <c:v>1983</c:v>
                </c:pt>
                <c:pt idx="1">
                  <c:v>1984</c:v>
                </c:pt>
                <c:pt idx="2">
                  <c:v>1985</c:v>
                </c:pt>
                <c:pt idx="3">
                  <c:v>1986</c:v>
                </c:pt>
                <c:pt idx="4">
                  <c:v>1987</c:v>
                </c:pt>
                <c:pt idx="5">
                  <c:v>1988</c:v>
                </c:pt>
                <c:pt idx="6">
                  <c:v>1989</c:v>
                </c:pt>
                <c:pt idx="7">
                  <c:v>1990</c:v>
                </c:pt>
                <c:pt idx="8">
                  <c:v>1991</c:v>
                </c:pt>
                <c:pt idx="9">
                  <c:v>1992</c:v>
                </c:pt>
                <c:pt idx="10">
                  <c:v>1993</c:v>
                </c:pt>
                <c:pt idx="11">
                  <c:v>1994</c:v>
                </c:pt>
                <c:pt idx="12">
                  <c:v>1995</c:v>
                </c:pt>
                <c:pt idx="13">
                  <c:v>1996</c:v>
                </c:pt>
                <c:pt idx="14">
                  <c:v>1997</c:v>
                </c:pt>
                <c:pt idx="15">
                  <c:v>1998</c:v>
                </c:pt>
                <c:pt idx="16">
                  <c:v>1999</c:v>
                </c:pt>
                <c:pt idx="17">
                  <c:v>2000</c:v>
                </c:pt>
                <c:pt idx="18">
                  <c:v>2001</c:v>
                </c:pt>
                <c:pt idx="19">
                  <c:v>2002</c:v>
                </c:pt>
                <c:pt idx="20">
                  <c:v>2003</c:v>
                </c:pt>
                <c:pt idx="21">
                  <c:v>2004</c:v>
                </c:pt>
                <c:pt idx="22">
                  <c:v>2005</c:v>
                </c:pt>
                <c:pt idx="23">
                  <c:v>2006</c:v>
                </c:pt>
                <c:pt idx="24">
                  <c:v>2007</c:v>
                </c:pt>
                <c:pt idx="25">
                  <c:v>2008</c:v>
                </c:pt>
                <c:pt idx="26">
                  <c:v>2009</c:v>
                </c:pt>
                <c:pt idx="27">
                  <c:v>2010</c:v>
                </c:pt>
                <c:pt idx="28">
                  <c:v>2011</c:v>
                </c:pt>
                <c:pt idx="29">
                  <c:v>2012</c:v>
                </c:pt>
                <c:pt idx="30">
                  <c:v>2013</c:v>
                </c:pt>
                <c:pt idx="31">
                  <c:v>2014</c:v>
                </c:pt>
                <c:pt idx="32">
                  <c:v>2015</c:v>
                </c:pt>
                <c:pt idx="33">
                  <c:v>2016</c:v>
                </c:pt>
                <c:pt idx="34">
                  <c:v>2017</c:v>
                </c:pt>
                <c:pt idx="35">
                  <c:v>2018</c:v>
                </c:pt>
                <c:pt idx="36">
                  <c:v>2019</c:v>
                </c:pt>
                <c:pt idx="37">
                  <c:v>2020</c:v>
                </c:pt>
                <c:pt idx="38">
                  <c:v>2021</c:v>
                </c:pt>
                <c:pt idx="39">
                  <c:v>2022</c:v>
                </c:pt>
                <c:pt idx="40">
                  <c:v>2023</c:v>
                </c:pt>
                <c:pt idx="41">
                  <c:v>2024</c:v>
                </c:pt>
              </c:numCache>
            </c:numRef>
          </c:cat>
          <c:val>
            <c:numRef>
              <c:f>Sheet1!$G$2:$G$45</c:f>
              <c:numCache>
                <c:formatCode>#,##0</c:formatCode>
                <c:ptCount val="44"/>
                <c:pt idx="0">
                  <c:v>45.995143253968301</c:v>
                </c:pt>
                <c:pt idx="1">
                  <c:v>47.054434033613397</c:v>
                </c:pt>
                <c:pt idx="2">
                  <c:v>24.165357142857101</c:v>
                </c:pt>
                <c:pt idx="3">
                  <c:v>22.5530079365079</c:v>
                </c:pt>
                <c:pt idx="4">
                  <c:v>28.057100840336101</c:v>
                </c:pt>
                <c:pt idx="5">
                  <c:v>18.861428571428601</c:v>
                </c:pt>
                <c:pt idx="6">
                  <c:v>10.391382936507901</c:v>
                </c:pt>
                <c:pt idx="7">
                  <c:v>6.7617373949579793</c:v>
                </c:pt>
                <c:pt idx="8">
                  <c:v>9.1577745098039198</c:v>
                </c:pt>
                <c:pt idx="9">
                  <c:v>11.4230753968254</c:v>
                </c:pt>
                <c:pt idx="10">
                  <c:v>18.0977282913165</c:v>
                </c:pt>
                <c:pt idx="11">
                  <c:v>43.787564425770306</c:v>
                </c:pt>
                <c:pt idx="12">
                  <c:v>33.525619047619095</c:v>
                </c:pt>
                <c:pt idx="13">
                  <c:v>31.493438375350099</c:v>
                </c:pt>
                <c:pt idx="14">
                  <c:v>39.210825536881401</c:v>
                </c:pt>
                <c:pt idx="15">
                  <c:v>49.5470509803922</c:v>
                </c:pt>
                <c:pt idx="16">
                  <c:v>14.366226610644301</c:v>
                </c:pt>
                <c:pt idx="17">
                  <c:v>17.4874838935574</c:v>
                </c:pt>
                <c:pt idx="18">
                  <c:v>18.110305742296898</c:v>
                </c:pt>
                <c:pt idx="19">
                  <c:v>15.9410389355742</c:v>
                </c:pt>
                <c:pt idx="20">
                  <c:v>21.939231979458498</c:v>
                </c:pt>
                <c:pt idx="21">
                  <c:v>23.673901073762803</c:v>
                </c:pt>
                <c:pt idx="22">
                  <c:v>32.0179108776844</c:v>
                </c:pt>
                <c:pt idx="23">
                  <c:v>54.213141083099899</c:v>
                </c:pt>
                <c:pt idx="24">
                  <c:v>44.7556890289449</c:v>
                </c:pt>
                <c:pt idx="25">
                  <c:v>42.750627357609702</c:v>
                </c:pt>
                <c:pt idx="26">
                  <c:v>33.9820508403361</c:v>
                </c:pt>
                <c:pt idx="27">
                  <c:v>29.777793697478998</c:v>
                </c:pt>
                <c:pt idx="28">
                  <c:v>53.690311017740399</c:v>
                </c:pt>
                <c:pt idx="29">
                  <c:v>26.9380134360411</c:v>
                </c:pt>
                <c:pt idx="30">
                  <c:v>24.175659477124203</c:v>
                </c:pt>
                <c:pt idx="31">
                  <c:v>31.562091820728298</c:v>
                </c:pt>
                <c:pt idx="32">
                  <c:v>18.452722222222199</c:v>
                </c:pt>
                <c:pt idx="33">
                  <c:v>9.8767076190476093</c:v>
                </c:pt>
                <c:pt idx="34">
                  <c:v>12.802797619047601</c:v>
                </c:pt>
                <c:pt idx="35">
                  <c:v>23.717025396825399</c:v>
                </c:pt>
                <c:pt idx="36">
                  <c:v>13.5034935760971</c:v>
                </c:pt>
                <c:pt idx="37">
                  <c:v>11.395580158730199</c:v>
                </c:pt>
                <c:pt idx="38">
                  <c:v>11.2684212698413</c:v>
                </c:pt>
                <c:pt idx="39">
                  <c:v>6.9373814354727399</c:v>
                </c:pt>
                <c:pt idx="40">
                  <c:v>4.4475047619047601</c:v>
                </c:pt>
                <c:pt idx="41">
                  <c:v>3.7046675394795603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6AF-4087-9396-B82B7B9C09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681525376"/>
        <c:axId val="1881588736"/>
      </c:barChart>
      <c:catAx>
        <c:axId val="168152537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b="1">
                    <a:solidFill>
                      <a:sysClr val="windowText" lastClr="000000"/>
                    </a:solidFill>
                  </a:rPr>
                  <a:t>Fishing season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81588736"/>
        <c:crosses val="autoZero"/>
        <c:auto val="1"/>
        <c:lblAlgn val="ctr"/>
        <c:lblOffset val="100"/>
        <c:noMultiLvlLbl val="0"/>
      </c:catAx>
      <c:valAx>
        <c:axId val="18815887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b="1">
                    <a:solidFill>
                      <a:sysClr val="windowText" lastClr="000000"/>
                    </a:solidFill>
                  </a:rPr>
                  <a:t>Catch (tonnes)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815253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2024 fishing season effort</c:v>
                </c:pt>
              </c:strCache>
            </c:strRef>
          </c:tx>
          <c:spPr>
            <a:solidFill>
              <a:schemeClr val="accent1">
                <a:shade val="76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Anson Bay</c:v>
                </c:pt>
                <c:pt idx="1">
                  <c:v>Moyle River</c:v>
                </c:pt>
                <c:pt idx="2">
                  <c:v>Roper River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790</c:v>
                </c:pt>
                <c:pt idx="1">
                  <c:v>206</c:v>
                </c:pt>
                <c:pt idx="2">
                  <c:v>586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885-4975-89D9-3B6E5ED2A5C9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Interim effort limit</c:v>
                </c:pt>
              </c:strCache>
            </c:strRef>
          </c:tx>
          <c:spPr>
            <a:solidFill>
              <a:schemeClr val="accent1">
                <a:tint val="77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Anson Bay</c:v>
                </c:pt>
                <c:pt idx="1">
                  <c:v>Moyle River</c:v>
                </c:pt>
                <c:pt idx="2">
                  <c:v>Roper River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2080</c:v>
                </c:pt>
                <c:pt idx="1">
                  <c:v>1054</c:v>
                </c:pt>
                <c:pt idx="2">
                  <c:v>1732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885-4975-89D9-3B6E5ED2A5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64279840"/>
        <c:axId val="1264264480"/>
      </c:barChart>
      <c:catAx>
        <c:axId val="12642798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64264480"/>
        <c:crosses val="autoZero"/>
        <c:auto val="1"/>
        <c:lblAlgn val="ctr"/>
        <c:lblOffset val="100"/>
        <c:noMultiLvlLbl val="0"/>
      </c:catAx>
      <c:valAx>
        <c:axId val="12642644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/>
                  <a:t>HMND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642798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E53A0AAF794CC582ACAD41EDCEB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89853-8220-4F70-89C5-9896BD498FD4}"/>
      </w:docPartPr>
      <w:docPartBody>
        <w:p w:rsidR="00576A56" w:rsidRDefault="00576A56">
          <w:pPr>
            <w:pStyle w:val="18E53A0AAF794CC582ACAD41EDCEBA04"/>
          </w:pPr>
          <w:r w:rsidRPr="000E6CF8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A56"/>
    <w:rsid w:val="00125055"/>
    <w:rsid w:val="00576A56"/>
    <w:rsid w:val="00756EC3"/>
    <w:rsid w:val="00854F0A"/>
    <w:rsid w:val="00E33130"/>
    <w:rsid w:val="00F0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8E53A0AAF794CC582ACAD41EDCEBA04">
    <w:name w:val="18E53A0AAF794CC582ACAD41EDCEBA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CB855B0-0AAF-47F2-BB08-C0FC8C554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ntg-fact-sheet.dotx</Template>
  <TotalTime>1217</TotalTime>
  <Pages>3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Barramundi Fishery Status Report 2024</vt:lpstr>
    </vt:vector>
  </TitlesOfParts>
  <Company>Agriculture and Fisheries</Company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Barramundi Fishery Status Report 2024</dc:title>
  <dc:creator>NorthernTerritoryGovernment@ntgov.onmicrosoft.com</dc:creator>
  <cp:lastModifiedBy>Vanessa Madrill</cp:lastModifiedBy>
  <cp:revision>5</cp:revision>
  <cp:lastPrinted>2019-08-28T22:41:00Z</cp:lastPrinted>
  <dcterms:created xsi:type="dcterms:W3CDTF">2025-01-30T00:57:00Z</dcterms:created>
  <dcterms:modified xsi:type="dcterms:W3CDTF">2025-01-31T02:58:00Z</dcterms:modified>
</cp:coreProperties>
</file>