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6C1DA" w14:textId="77777777" w:rsidR="00D61FD1" w:rsidRDefault="00EB0264" w:rsidP="007B77E4">
      <w:pPr>
        <w:pStyle w:val="Title"/>
        <w:spacing w:after="0"/>
        <w:rPr>
          <w:rStyle w:val="TitleChar"/>
          <w:color w:val="FF0000"/>
          <w:sz w:val="32"/>
          <w:szCs w:val="32"/>
        </w:rPr>
      </w:pPr>
      <w:r>
        <w:rPr>
          <w:rStyle w:val="TitleChar"/>
        </w:rPr>
        <w:t xml:space="preserve">Circular Economy </w:t>
      </w:r>
      <w:r w:rsidR="00234EEA">
        <w:rPr>
          <w:rStyle w:val="TitleChar"/>
        </w:rPr>
        <w:t>Northern Territory</w:t>
      </w:r>
      <w:r w:rsidR="001F6A92">
        <w:rPr>
          <w:rStyle w:val="TitleChar"/>
        </w:rPr>
        <w:t xml:space="preserve"> Grant Program</w:t>
      </w:r>
      <w:bookmarkStart w:id="0" w:name="_Toc15286907"/>
      <w:bookmarkStart w:id="1" w:name="_Toc15286861"/>
      <w:r w:rsidR="00FE460C">
        <w:rPr>
          <w:rStyle w:val="TitleChar"/>
        </w:rPr>
        <w:t xml:space="preserve"> </w:t>
      </w:r>
      <w:r w:rsidR="008B21AD">
        <w:rPr>
          <w:rStyle w:val="TitleChar"/>
        </w:rPr>
        <w:br/>
      </w:r>
      <w:bookmarkEnd w:id="0"/>
      <w:bookmarkEnd w:id="1"/>
    </w:p>
    <w:p w14:paraId="5D879FA3" w14:textId="77777777" w:rsidR="00FD7EE8" w:rsidRPr="00FD7EE8" w:rsidRDefault="00FD7EE8" w:rsidP="00FD7EE8"/>
    <w:p w14:paraId="37040915" w14:textId="77777777" w:rsidR="001F6A92" w:rsidRPr="001F6A92" w:rsidRDefault="009B5CED" w:rsidP="00EB0264">
      <w:pPr>
        <w:pStyle w:val="Heading1"/>
        <w:rPr>
          <w:lang w:eastAsia="en-AU"/>
        </w:rPr>
      </w:pPr>
      <w:bookmarkStart w:id="2" w:name="_Toc146102963"/>
      <w:r>
        <w:rPr>
          <w:lang w:eastAsia="en-AU"/>
        </w:rPr>
        <w:t>Terms and Conditions</w:t>
      </w:r>
      <w:bookmarkEnd w:id="2"/>
      <w:r w:rsidR="00FD7EE8">
        <w:rPr>
          <w:lang w:eastAsia="en-AU"/>
        </w:rPr>
        <w:t xml:space="preserve"> </w:t>
      </w:r>
    </w:p>
    <w:p w14:paraId="30DD2E71" w14:textId="77777777" w:rsidR="00FD7EE8" w:rsidRDefault="00EF76A6" w:rsidP="00FD7EE8">
      <w:pPr>
        <w:rPr>
          <w:lang w:eastAsia="en-AU"/>
        </w:rPr>
      </w:pPr>
      <w:r>
        <w:rPr>
          <w:lang w:eastAsia="en-AU"/>
        </w:rPr>
        <w:t xml:space="preserve"> </w:t>
      </w:r>
    </w:p>
    <w:p w14:paraId="304B674A" w14:textId="77777777" w:rsidR="00772E62" w:rsidRDefault="00772E62">
      <w:pPr>
        <w:rPr>
          <w:lang w:eastAsia="en-AU"/>
        </w:rPr>
      </w:pPr>
      <w:r>
        <w:rPr>
          <w:lang w:eastAsia="en-AU"/>
        </w:rPr>
        <w:br w:type="page"/>
      </w:r>
    </w:p>
    <w:sdt>
      <w:sdtPr>
        <w:rPr>
          <w:rFonts w:ascii="Lato" w:eastAsia="Calibri" w:hAnsi="Lato"/>
          <w:color w:val="auto"/>
          <w:sz w:val="22"/>
          <w:szCs w:val="22"/>
        </w:rPr>
        <w:id w:val="919527762"/>
        <w:docPartObj>
          <w:docPartGallery w:val="Table of Contents"/>
          <w:docPartUnique/>
        </w:docPartObj>
      </w:sdtPr>
      <w:sdtEndPr>
        <w:rPr>
          <w:b/>
          <w:bCs/>
          <w:noProof/>
        </w:rPr>
      </w:sdtEndPr>
      <w:sdtContent>
        <w:p w14:paraId="57C64B3D" w14:textId="77777777" w:rsidR="009B5CED" w:rsidRDefault="009B5CED" w:rsidP="00EB0264">
          <w:pPr>
            <w:pStyle w:val="TOCHeading"/>
            <w:spacing w:after="240"/>
          </w:pPr>
          <w:r>
            <w:t>Contents</w:t>
          </w:r>
        </w:p>
        <w:p w14:paraId="6D413654" w14:textId="77777777" w:rsidR="004F6A51" w:rsidRDefault="009B5CED">
          <w:pPr>
            <w:pStyle w:val="TOC1"/>
            <w:tabs>
              <w:tab w:val="right" w:leader="dot" w:pos="10308"/>
            </w:tabs>
            <w:rPr>
              <w:rFonts w:asciiTheme="minorHAnsi" w:eastAsiaTheme="minorEastAsia" w:hAnsiTheme="minorHAnsi" w:cstheme="minorBidi"/>
              <w:noProof/>
              <w:lang w:eastAsia="en-AU"/>
            </w:rPr>
          </w:pPr>
          <w:r>
            <w:fldChar w:fldCharType="begin"/>
          </w:r>
          <w:r>
            <w:instrText xml:space="preserve"> TOC \o "1-3" \h \z \u </w:instrText>
          </w:r>
          <w:r>
            <w:fldChar w:fldCharType="separate"/>
          </w:r>
          <w:hyperlink w:anchor="_Toc146102963" w:history="1">
            <w:r w:rsidR="004F6A51" w:rsidRPr="007F2758">
              <w:rPr>
                <w:rStyle w:val="Hyperlink"/>
                <w:noProof/>
                <w:lang w:eastAsia="en-AU"/>
              </w:rPr>
              <w:t>Terms and Conditions</w:t>
            </w:r>
            <w:r w:rsidR="004F6A51">
              <w:rPr>
                <w:noProof/>
                <w:webHidden/>
              </w:rPr>
              <w:tab/>
            </w:r>
            <w:r w:rsidR="004F6A51">
              <w:rPr>
                <w:noProof/>
                <w:webHidden/>
              </w:rPr>
              <w:fldChar w:fldCharType="begin"/>
            </w:r>
            <w:r w:rsidR="004F6A51">
              <w:rPr>
                <w:noProof/>
                <w:webHidden/>
              </w:rPr>
              <w:instrText xml:space="preserve"> PAGEREF _Toc146102963 \h </w:instrText>
            </w:r>
            <w:r w:rsidR="004F6A51">
              <w:rPr>
                <w:noProof/>
                <w:webHidden/>
              </w:rPr>
            </w:r>
            <w:r w:rsidR="004F6A51">
              <w:rPr>
                <w:noProof/>
                <w:webHidden/>
              </w:rPr>
              <w:fldChar w:fldCharType="separate"/>
            </w:r>
            <w:r w:rsidR="000D2506">
              <w:rPr>
                <w:noProof/>
                <w:webHidden/>
              </w:rPr>
              <w:t>1</w:t>
            </w:r>
            <w:r w:rsidR="004F6A51">
              <w:rPr>
                <w:noProof/>
                <w:webHidden/>
              </w:rPr>
              <w:fldChar w:fldCharType="end"/>
            </w:r>
          </w:hyperlink>
        </w:p>
        <w:p w14:paraId="79CE262E" w14:textId="77777777" w:rsidR="004F6A51" w:rsidRDefault="00000000">
          <w:pPr>
            <w:pStyle w:val="TOC1"/>
            <w:tabs>
              <w:tab w:val="left" w:pos="440"/>
              <w:tab w:val="right" w:leader="dot" w:pos="10308"/>
            </w:tabs>
            <w:rPr>
              <w:rFonts w:asciiTheme="minorHAnsi" w:eastAsiaTheme="minorEastAsia" w:hAnsiTheme="minorHAnsi" w:cstheme="minorBidi"/>
              <w:noProof/>
              <w:lang w:eastAsia="en-AU"/>
            </w:rPr>
          </w:pPr>
          <w:hyperlink w:anchor="_Toc146102964" w:history="1">
            <w:r w:rsidR="004F6A51" w:rsidRPr="007F2758">
              <w:rPr>
                <w:rStyle w:val="Hyperlink"/>
                <w:noProof/>
                <w:lang w:eastAsia="en-AU"/>
              </w:rPr>
              <w:t>1.</w:t>
            </w:r>
            <w:r w:rsidR="004F6A51">
              <w:rPr>
                <w:rFonts w:asciiTheme="minorHAnsi" w:eastAsiaTheme="minorEastAsia" w:hAnsiTheme="minorHAnsi" w:cstheme="minorBidi"/>
                <w:noProof/>
                <w:lang w:eastAsia="en-AU"/>
              </w:rPr>
              <w:tab/>
            </w:r>
            <w:r w:rsidR="004F6A51" w:rsidRPr="007F2758">
              <w:rPr>
                <w:rStyle w:val="Hyperlink"/>
                <w:noProof/>
                <w:lang w:eastAsia="en-AU"/>
              </w:rPr>
              <w:t>Introduction</w:t>
            </w:r>
            <w:r w:rsidR="004F6A51">
              <w:rPr>
                <w:noProof/>
                <w:webHidden/>
              </w:rPr>
              <w:tab/>
            </w:r>
            <w:r w:rsidR="004F6A51">
              <w:rPr>
                <w:noProof/>
                <w:webHidden/>
              </w:rPr>
              <w:fldChar w:fldCharType="begin"/>
            </w:r>
            <w:r w:rsidR="004F6A51">
              <w:rPr>
                <w:noProof/>
                <w:webHidden/>
              </w:rPr>
              <w:instrText xml:space="preserve"> PAGEREF _Toc146102964 \h </w:instrText>
            </w:r>
            <w:r w:rsidR="004F6A51">
              <w:rPr>
                <w:noProof/>
                <w:webHidden/>
              </w:rPr>
            </w:r>
            <w:r w:rsidR="004F6A51">
              <w:rPr>
                <w:noProof/>
                <w:webHidden/>
              </w:rPr>
              <w:fldChar w:fldCharType="separate"/>
            </w:r>
            <w:r w:rsidR="000D2506">
              <w:rPr>
                <w:noProof/>
                <w:webHidden/>
              </w:rPr>
              <w:t>3</w:t>
            </w:r>
            <w:r w:rsidR="004F6A51">
              <w:rPr>
                <w:noProof/>
                <w:webHidden/>
              </w:rPr>
              <w:fldChar w:fldCharType="end"/>
            </w:r>
          </w:hyperlink>
        </w:p>
        <w:p w14:paraId="749BA1AD" w14:textId="77777777" w:rsidR="004F6A51" w:rsidRDefault="00000000">
          <w:pPr>
            <w:pStyle w:val="TOC1"/>
            <w:tabs>
              <w:tab w:val="left" w:pos="660"/>
              <w:tab w:val="right" w:leader="dot" w:pos="10308"/>
            </w:tabs>
            <w:rPr>
              <w:rFonts w:asciiTheme="minorHAnsi" w:eastAsiaTheme="minorEastAsia" w:hAnsiTheme="minorHAnsi" w:cstheme="minorBidi"/>
              <w:noProof/>
              <w:lang w:eastAsia="en-AU"/>
            </w:rPr>
          </w:pPr>
          <w:hyperlink w:anchor="_Toc146102965" w:history="1">
            <w:r w:rsidR="004F6A51" w:rsidRPr="007F2758">
              <w:rPr>
                <w:rStyle w:val="Hyperlink"/>
                <w:noProof/>
                <w:lang w:eastAsia="en-AU"/>
              </w:rPr>
              <w:t xml:space="preserve">2. </w:t>
            </w:r>
            <w:r w:rsidR="004F6A51">
              <w:rPr>
                <w:rFonts w:asciiTheme="minorHAnsi" w:eastAsiaTheme="minorEastAsia" w:hAnsiTheme="minorHAnsi" w:cstheme="minorBidi"/>
                <w:noProof/>
                <w:lang w:eastAsia="en-AU"/>
              </w:rPr>
              <w:tab/>
            </w:r>
            <w:r w:rsidR="004F6A51" w:rsidRPr="007F2758">
              <w:rPr>
                <w:rStyle w:val="Hyperlink"/>
                <w:noProof/>
                <w:lang w:eastAsia="en-AU"/>
              </w:rPr>
              <w:t>Background</w:t>
            </w:r>
            <w:r w:rsidR="004F6A51">
              <w:rPr>
                <w:noProof/>
                <w:webHidden/>
              </w:rPr>
              <w:tab/>
            </w:r>
            <w:r w:rsidR="004F6A51">
              <w:rPr>
                <w:noProof/>
                <w:webHidden/>
              </w:rPr>
              <w:fldChar w:fldCharType="begin"/>
            </w:r>
            <w:r w:rsidR="004F6A51">
              <w:rPr>
                <w:noProof/>
                <w:webHidden/>
              </w:rPr>
              <w:instrText xml:space="preserve"> PAGEREF _Toc146102965 \h </w:instrText>
            </w:r>
            <w:r w:rsidR="004F6A51">
              <w:rPr>
                <w:noProof/>
                <w:webHidden/>
              </w:rPr>
            </w:r>
            <w:r w:rsidR="004F6A51">
              <w:rPr>
                <w:noProof/>
                <w:webHidden/>
              </w:rPr>
              <w:fldChar w:fldCharType="separate"/>
            </w:r>
            <w:r w:rsidR="000D2506">
              <w:rPr>
                <w:noProof/>
                <w:webHidden/>
              </w:rPr>
              <w:t>3</w:t>
            </w:r>
            <w:r w:rsidR="004F6A51">
              <w:rPr>
                <w:noProof/>
                <w:webHidden/>
              </w:rPr>
              <w:fldChar w:fldCharType="end"/>
            </w:r>
          </w:hyperlink>
        </w:p>
        <w:p w14:paraId="11966A81" w14:textId="77777777" w:rsidR="004F6A51" w:rsidRDefault="00000000">
          <w:pPr>
            <w:pStyle w:val="TOC1"/>
            <w:tabs>
              <w:tab w:val="left" w:pos="660"/>
              <w:tab w:val="right" w:leader="dot" w:pos="10308"/>
            </w:tabs>
            <w:rPr>
              <w:rFonts w:asciiTheme="minorHAnsi" w:eastAsiaTheme="minorEastAsia" w:hAnsiTheme="minorHAnsi" w:cstheme="minorBidi"/>
              <w:noProof/>
              <w:lang w:eastAsia="en-AU"/>
            </w:rPr>
          </w:pPr>
          <w:hyperlink w:anchor="_Toc146102966" w:history="1">
            <w:r w:rsidR="004F6A51" w:rsidRPr="007F2758">
              <w:rPr>
                <w:rStyle w:val="Hyperlink"/>
                <w:noProof/>
                <w:lang w:eastAsia="en-AU"/>
              </w:rPr>
              <w:t xml:space="preserve">3. </w:t>
            </w:r>
            <w:r w:rsidR="004F6A51">
              <w:rPr>
                <w:rFonts w:asciiTheme="minorHAnsi" w:eastAsiaTheme="minorEastAsia" w:hAnsiTheme="minorHAnsi" w:cstheme="minorBidi"/>
                <w:noProof/>
                <w:lang w:eastAsia="en-AU"/>
              </w:rPr>
              <w:tab/>
            </w:r>
            <w:r w:rsidR="004F6A51" w:rsidRPr="007F2758">
              <w:rPr>
                <w:rStyle w:val="Hyperlink"/>
                <w:noProof/>
                <w:lang w:eastAsia="en-AU"/>
              </w:rPr>
              <w:t>Program objectives and outcomes</w:t>
            </w:r>
            <w:r w:rsidR="004F6A51">
              <w:rPr>
                <w:noProof/>
                <w:webHidden/>
              </w:rPr>
              <w:tab/>
            </w:r>
            <w:r w:rsidR="004F6A51">
              <w:rPr>
                <w:noProof/>
                <w:webHidden/>
              </w:rPr>
              <w:fldChar w:fldCharType="begin"/>
            </w:r>
            <w:r w:rsidR="004F6A51">
              <w:rPr>
                <w:noProof/>
                <w:webHidden/>
              </w:rPr>
              <w:instrText xml:space="preserve"> PAGEREF _Toc146102966 \h </w:instrText>
            </w:r>
            <w:r w:rsidR="004F6A51">
              <w:rPr>
                <w:noProof/>
                <w:webHidden/>
              </w:rPr>
            </w:r>
            <w:r w:rsidR="004F6A51">
              <w:rPr>
                <w:noProof/>
                <w:webHidden/>
              </w:rPr>
              <w:fldChar w:fldCharType="separate"/>
            </w:r>
            <w:r w:rsidR="000D2506">
              <w:rPr>
                <w:noProof/>
                <w:webHidden/>
              </w:rPr>
              <w:t>4</w:t>
            </w:r>
            <w:r w:rsidR="004F6A51">
              <w:rPr>
                <w:noProof/>
                <w:webHidden/>
              </w:rPr>
              <w:fldChar w:fldCharType="end"/>
            </w:r>
          </w:hyperlink>
        </w:p>
        <w:p w14:paraId="528085B1" w14:textId="13399919" w:rsidR="004F6A51" w:rsidRDefault="00000000">
          <w:pPr>
            <w:pStyle w:val="TOC1"/>
            <w:tabs>
              <w:tab w:val="right" w:leader="dot" w:pos="10308"/>
            </w:tabs>
            <w:rPr>
              <w:rFonts w:asciiTheme="minorHAnsi" w:eastAsiaTheme="minorEastAsia" w:hAnsiTheme="minorHAnsi" w:cstheme="minorBidi"/>
              <w:noProof/>
              <w:lang w:eastAsia="en-AU"/>
            </w:rPr>
          </w:pPr>
          <w:hyperlink w:anchor="_Toc146102967" w:history="1">
            <w:r w:rsidR="004F6A51" w:rsidRPr="007F2758">
              <w:rPr>
                <w:rStyle w:val="Hyperlink"/>
                <w:noProof/>
                <w:lang w:eastAsia="en-AU"/>
              </w:rPr>
              <w:t>Definitions</w:t>
            </w:r>
            <w:r w:rsidR="004F6A51">
              <w:rPr>
                <w:noProof/>
                <w:webHidden/>
              </w:rPr>
              <w:tab/>
            </w:r>
            <w:r w:rsidR="004F6A51">
              <w:rPr>
                <w:noProof/>
                <w:webHidden/>
              </w:rPr>
              <w:fldChar w:fldCharType="begin"/>
            </w:r>
            <w:r w:rsidR="004F6A51">
              <w:rPr>
                <w:noProof/>
                <w:webHidden/>
              </w:rPr>
              <w:instrText xml:space="preserve"> PAGEREF _Toc146102967 \h </w:instrText>
            </w:r>
            <w:r w:rsidR="004F6A51">
              <w:rPr>
                <w:noProof/>
                <w:webHidden/>
              </w:rPr>
            </w:r>
            <w:r w:rsidR="004F6A51">
              <w:rPr>
                <w:noProof/>
                <w:webHidden/>
              </w:rPr>
              <w:fldChar w:fldCharType="separate"/>
            </w:r>
            <w:r w:rsidR="000D2506">
              <w:rPr>
                <w:noProof/>
                <w:webHidden/>
              </w:rPr>
              <w:t>5</w:t>
            </w:r>
            <w:r w:rsidR="004F6A51">
              <w:rPr>
                <w:noProof/>
                <w:webHidden/>
              </w:rPr>
              <w:fldChar w:fldCharType="end"/>
            </w:r>
          </w:hyperlink>
        </w:p>
        <w:p w14:paraId="2795C54C" w14:textId="633F147C" w:rsidR="004F6A51" w:rsidRDefault="00000000">
          <w:pPr>
            <w:pStyle w:val="TOC1"/>
            <w:tabs>
              <w:tab w:val="left" w:pos="660"/>
              <w:tab w:val="right" w:leader="dot" w:pos="10308"/>
            </w:tabs>
            <w:rPr>
              <w:rFonts w:asciiTheme="minorHAnsi" w:eastAsiaTheme="minorEastAsia" w:hAnsiTheme="minorHAnsi" w:cstheme="minorBidi"/>
              <w:noProof/>
              <w:lang w:eastAsia="en-AU"/>
            </w:rPr>
          </w:pPr>
          <w:hyperlink w:anchor="_Toc146102968" w:history="1">
            <w:r w:rsidR="004F6A51" w:rsidRPr="007F2758">
              <w:rPr>
                <w:rStyle w:val="Hyperlink"/>
                <w:noProof/>
                <w:lang w:eastAsia="en-AU"/>
              </w:rPr>
              <w:t xml:space="preserve">4. </w:t>
            </w:r>
            <w:r w:rsidR="004F6A51">
              <w:rPr>
                <w:rFonts w:asciiTheme="minorHAnsi" w:eastAsiaTheme="minorEastAsia" w:hAnsiTheme="minorHAnsi" w:cstheme="minorBidi"/>
                <w:noProof/>
                <w:lang w:eastAsia="en-AU"/>
              </w:rPr>
              <w:tab/>
            </w:r>
            <w:r w:rsidR="004F6A51" w:rsidRPr="007F2758">
              <w:rPr>
                <w:rStyle w:val="Hyperlink"/>
                <w:noProof/>
                <w:lang w:eastAsia="en-AU"/>
              </w:rPr>
              <w:t>Applicant and Project Eligibility</w:t>
            </w:r>
            <w:r w:rsidR="004F6A51">
              <w:rPr>
                <w:noProof/>
                <w:webHidden/>
              </w:rPr>
              <w:tab/>
            </w:r>
            <w:r w:rsidR="004F6A51">
              <w:rPr>
                <w:noProof/>
                <w:webHidden/>
              </w:rPr>
              <w:fldChar w:fldCharType="begin"/>
            </w:r>
            <w:r w:rsidR="004F6A51">
              <w:rPr>
                <w:noProof/>
                <w:webHidden/>
              </w:rPr>
              <w:instrText xml:space="preserve"> PAGEREF _Toc146102968 \h </w:instrText>
            </w:r>
            <w:r w:rsidR="004F6A51">
              <w:rPr>
                <w:noProof/>
                <w:webHidden/>
              </w:rPr>
            </w:r>
            <w:r w:rsidR="004F6A51">
              <w:rPr>
                <w:noProof/>
                <w:webHidden/>
              </w:rPr>
              <w:fldChar w:fldCharType="separate"/>
            </w:r>
            <w:r w:rsidR="000D2506">
              <w:rPr>
                <w:noProof/>
                <w:webHidden/>
              </w:rPr>
              <w:t>6</w:t>
            </w:r>
            <w:r w:rsidR="004F6A51">
              <w:rPr>
                <w:noProof/>
                <w:webHidden/>
              </w:rPr>
              <w:fldChar w:fldCharType="end"/>
            </w:r>
          </w:hyperlink>
        </w:p>
        <w:p w14:paraId="37BEC0F6" w14:textId="56A2E3A5" w:rsidR="004F6A51" w:rsidRDefault="00000000">
          <w:pPr>
            <w:pStyle w:val="TOC2"/>
            <w:tabs>
              <w:tab w:val="right" w:leader="dot" w:pos="10308"/>
            </w:tabs>
            <w:rPr>
              <w:rFonts w:asciiTheme="minorHAnsi" w:eastAsiaTheme="minorEastAsia" w:hAnsiTheme="minorHAnsi" w:cstheme="minorBidi"/>
              <w:noProof/>
              <w:lang w:eastAsia="en-AU"/>
            </w:rPr>
          </w:pPr>
          <w:hyperlink w:anchor="_Toc146102969" w:history="1">
            <w:r w:rsidR="004F6A51" w:rsidRPr="007F2758">
              <w:rPr>
                <w:rStyle w:val="Hyperlink"/>
                <w:noProof/>
                <w:kern w:val="32"/>
                <w:lang w:eastAsia="en-AU"/>
              </w:rPr>
              <w:t>4.1 Organisation eligibility</w:t>
            </w:r>
            <w:r w:rsidR="004F6A51">
              <w:rPr>
                <w:noProof/>
                <w:webHidden/>
              </w:rPr>
              <w:tab/>
            </w:r>
            <w:r w:rsidR="004F6A51">
              <w:rPr>
                <w:noProof/>
                <w:webHidden/>
              </w:rPr>
              <w:fldChar w:fldCharType="begin"/>
            </w:r>
            <w:r w:rsidR="004F6A51">
              <w:rPr>
                <w:noProof/>
                <w:webHidden/>
              </w:rPr>
              <w:instrText xml:space="preserve"> PAGEREF _Toc146102969 \h </w:instrText>
            </w:r>
            <w:r w:rsidR="004F6A51">
              <w:rPr>
                <w:noProof/>
                <w:webHidden/>
              </w:rPr>
            </w:r>
            <w:r w:rsidR="004F6A51">
              <w:rPr>
                <w:noProof/>
                <w:webHidden/>
              </w:rPr>
              <w:fldChar w:fldCharType="separate"/>
            </w:r>
            <w:r w:rsidR="000D2506">
              <w:rPr>
                <w:noProof/>
                <w:webHidden/>
              </w:rPr>
              <w:t>6</w:t>
            </w:r>
            <w:r w:rsidR="004F6A51">
              <w:rPr>
                <w:noProof/>
                <w:webHidden/>
              </w:rPr>
              <w:fldChar w:fldCharType="end"/>
            </w:r>
          </w:hyperlink>
        </w:p>
        <w:p w14:paraId="2BFD7ABB" w14:textId="795E945E" w:rsidR="004F6A51" w:rsidRDefault="00000000">
          <w:pPr>
            <w:pStyle w:val="TOC2"/>
            <w:tabs>
              <w:tab w:val="left" w:pos="880"/>
              <w:tab w:val="right" w:leader="dot" w:pos="10308"/>
            </w:tabs>
            <w:rPr>
              <w:rFonts w:asciiTheme="minorHAnsi" w:eastAsiaTheme="minorEastAsia" w:hAnsiTheme="minorHAnsi" w:cstheme="minorBidi"/>
              <w:noProof/>
              <w:lang w:eastAsia="en-AU"/>
            </w:rPr>
          </w:pPr>
          <w:hyperlink w:anchor="_Toc146102970" w:history="1">
            <w:r w:rsidR="004F6A51" w:rsidRPr="007F2758">
              <w:rPr>
                <w:rStyle w:val="Hyperlink"/>
                <w:noProof/>
                <w:kern w:val="32"/>
                <w:lang w:eastAsia="en-AU"/>
              </w:rPr>
              <w:t xml:space="preserve">4.2 </w:t>
            </w:r>
            <w:r w:rsidR="004F6A51">
              <w:rPr>
                <w:rFonts w:asciiTheme="minorHAnsi" w:eastAsiaTheme="minorEastAsia" w:hAnsiTheme="minorHAnsi" w:cstheme="minorBidi"/>
                <w:noProof/>
                <w:lang w:eastAsia="en-AU"/>
              </w:rPr>
              <w:tab/>
            </w:r>
            <w:r w:rsidR="004F6A51" w:rsidRPr="007F2758">
              <w:rPr>
                <w:rStyle w:val="Hyperlink"/>
                <w:noProof/>
                <w:kern w:val="32"/>
                <w:lang w:eastAsia="en-AU"/>
              </w:rPr>
              <w:t>Eligible Projects</w:t>
            </w:r>
            <w:r w:rsidR="004F6A51">
              <w:rPr>
                <w:noProof/>
                <w:webHidden/>
              </w:rPr>
              <w:tab/>
            </w:r>
            <w:r w:rsidR="004F6A51">
              <w:rPr>
                <w:noProof/>
                <w:webHidden/>
              </w:rPr>
              <w:fldChar w:fldCharType="begin"/>
            </w:r>
            <w:r w:rsidR="004F6A51">
              <w:rPr>
                <w:noProof/>
                <w:webHidden/>
              </w:rPr>
              <w:instrText xml:space="preserve"> PAGEREF _Toc146102970 \h </w:instrText>
            </w:r>
            <w:r w:rsidR="004F6A51">
              <w:rPr>
                <w:noProof/>
                <w:webHidden/>
              </w:rPr>
            </w:r>
            <w:r w:rsidR="004F6A51">
              <w:rPr>
                <w:noProof/>
                <w:webHidden/>
              </w:rPr>
              <w:fldChar w:fldCharType="separate"/>
            </w:r>
            <w:r w:rsidR="000D2506">
              <w:rPr>
                <w:noProof/>
                <w:webHidden/>
              </w:rPr>
              <w:t>6</w:t>
            </w:r>
            <w:r w:rsidR="004F6A51">
              <w:rPr>
                <w:noProof/>
                <w:webHidden/>
              </w:rPr>
              <w:fldChar w:fldCharType="end"/>
            </w:r>
          </w:hyperlink>
        </w:p>
        <w:p w14:paraId="365A17D9" w14:textId="77777777" w:rsidR="004F6A51" w:rsidRDefault="00000000">
          <w:pPr>
            <w:pStyle w:val="TOC2"/>
            <w:tabs>
              <w:tab w:val="left" w:pos="880"/>
              <w:tab w:val="right" w:leader="dot" w:pos="10308"/>
            </w:tabs>
            <w:rPr>
              <w:rFonts w:asciiTheme="minorHAnsi" w:eastAsiaTheme="minorEastAsia" w:hAnsiTheme="minorHAnsi" w:cstheme="minorBidi"/>
              <w:noProof/>
              <w:lang w:eastAsia="en-AU"/>
            </w:rPr>
          </w:pPr>
          <w:hyperlink w:anchor="_Toc146102971" w:history="1">
            <w:r w:rsidR="004F6A51" w:rsidRPr="007F2758">
              <w:rPr>
                <w:rStyle w:val="Hyperlink"/>
                <w:noProof/>
                <w:kern w:val="32"/>
                <w:lang w:eastAsia="en-AU"/>
              </w:rPr>
              <w:t xml:space="preserve">4.3 </w:t>
            </w:r>
            <w:r w:rsidR="004F6A51">
              <w:rPr>
                <w:rFonts w:asciiTheme="minorHAnsi" w:eastAsiaTheme="minorEastAsia" w:hAnsiTheme="minorHAnsi" w:cstheme="minorBidi"/>
                <w:noProof/>
                <w:lang w:eastAsia="en-AU"/>
              </w:rPr>
              <w:tab/>
            </w:r>
            <w:r w:rsidR="004F6A51" w:rsidRPr="007F2758">
              <w:rPr>
                <w:rStyle w:val="Hyperlink"/>
                <w:noProof/>
                <w:kern w:val="32"/>
                <w:lang w:eastAsia="en-AU"/>
              </w:rPr>
              <w:t>Eligible project costs</w:t>
            </w:r>
            <w:r w:rsidR="004F6A51">
              <w:rPr>
                <w:noProof/>
                <w:webHidden/>
              </w:rPr>
              <w:tab/>
            </w:r>
            <w:r w:rsidR="004F6A51">
              <w:rPr>
                <w:noProof/>
                <w:webHidden/>
              </w:rPr>
              <w:fldChar w:fldCharType="begin"/>
            </w:r>
            <w:r w:rsidR="004F6A51">
              <w:rPr>
                <w:noProof/>
                <w:webHidden/>
              </w:rPr>
              <w:instrText xml:space="preserve"> PAGEREF _Toc146102971 \h </w:instrText>
            </w:r>
            <w:r w:rsidR="004F6A51">
              <w:rPr>
                <w:noProof/>
                <w:webHidden/>
              </w:rPr>
            </w:r>
            <w:r w:rsidR="004F6A51">
              <w:rPr>
                <w:noProof/>
                <w:webHidden/>
              </w:rPr>
              <w:fldChar w:fldCharType="separate"/>
            </w:r>
            <w:r w:rsidR="000D2506">
              <w:rPr>
                <w:noProof/>
                <w:webHidden/>
              </w:rPr>
              <w:t>7</w:t>
            </w:r>
            <w:r w:rsidR="004F6A51">
              <w:rPr>
                <w:noProof/>
                <w:webHidden/>
              </w:rPr>
              <w:fldChar w:fldCharType="end"/>
            </w:r>
          </w:hyperlink>
        </w:p>
        <w:p w14:paraId="3951B759" w14:textId="77777777" w:rsidR="004F6A51" w:rsidRDefault="00000000">
          <w:pPr>
            <w:pStyle w:val="TOC1"/>
            <w:tabs>
              <w:tab w:val="left" w:pos="660"/>
              <w:tab w:val="right" w:leader="dot" w:pos="10308"/>
            </w:tabs>
            <w:rPr>
              <w:rFonts w:asciiTheme="minorHAnsi" w:eastAsiaTheme="minorEastAsia" w:hAnsiTheme="minorHAnsi" w:cstheme="minorBidi"/>
              <w:noProof/>
              <w:lang w:eastAsia="en-AU"/>
            </w:rPr>
          </w:pPr>
          <w:hyperlink w:anchor="_Toc146102972" w:history="1">
            <w:r w:rsidR="004F6A51" w:rsidRPr="007F2758">
              <w:rPr>
                <w:rStyle w:val="Hyperlink"/>
                <w:noProof/>
                <w:lang w:eastAsia="en-AU"/>
              </w:rPr>
              <w:t xml:space="preserve">5. </w:t>
            </w:r>
            <w:r w:rsidR="004F6A51">
              <w:rPr>
                <w:rFonts w:asciiTheme="minorHAnsi" w:eastAsiaTheme="minorEastAsia" w:hAnsiTheme="minorHAnsi" w:cstheme="minorBidi"/>
                <w:noProof/>
                <w:lang w:eastAsia="en-AU"/>
              </w:rPr>
              <w:tab/>
            </w:r>
            <w:r w:rsidR="004F6A51" w:rsidRPr="007F2758">
              <w:rPr>
                <w:rStyle w:val="Hyperlink"/>
                <w:noProof/>
                <w:lang w:eastAsia="en-AU"/>
              </w:rPr>
              <w:t>Funding arrangements for successful projects</w:t>
            </w:r>
            <w:r w:rsidR="004F6A51">
              <w:rPr>
                <w:noProof/>
                <w:webHidden/>
              </w:rPr>
              <w:tab/>
            </w:r>
            <w:r w:rsidR="004F6A51">
              <w:rPr>
                <w:noProof/>
                <w:webHidden/>
              </w:rPr>
              <w:fldChar w:fldCharType="begin"/>
            </w:r>
            <w:r w:rsidR="004F6A51">
              <w:rPr>
                <w:noProof/>
                <w:webHidden/>
              </w:rPr>
              <w:instrText xml:space="preserve"> PAGEREF _Toc146102972 \h </w:instrText>
            </w:r>
            <w:r w:rsidR="004F6A51">
              <w:rPr>
                <w:noProof/>
                <w:webHidden/>
              </w:rPr>
            </w:r>
            <w:r w:rsidR="004F6A51">
              <w:rPr>
                <w:noProof/>
                <w:webHidden/>
              </w:rPr>
              <w:fldChar w:fldCharType="separate"/>
            </w:r>
            <w:r w:rsidR="000D2506">
              <w:rPr>
                <w:noProof/>
                <w:webHidden/>
              </w:rPr>
              <w:t>8</w:t>
            </w:r>
            <w:r w:rsidR="004F6A51">
              <w:rPr>
                <w:noProof/>
                <w:webHidden/>
              </w:rPr>
              <w:fldChar w:fldCharType="end"/>
            </w:r>
          </w:hyperlink>
        </w:p>
        <w:p w14:paraId="0EF3B12B" w14:textId="77777777" w:rsidR="004F6A51" w:rsidRDefault="00000000">
          <w:pPr>
            <w:pStyle w:val="TOC1"/>
            <w:tabs>
              <w:tab w:val="left" w:pos="660"/>
              <w:tab w:val="right" w:leader="dot" w:pos="10308"/>
            </w:tabs>
            <w:rPr>
              <w:rFonts w:asciiTheme="minorHAnsi" w:eastAsiaTheme="minorEastAsia" w:hAnsiTheme="minorHAnsi" w:cstheme="minorBidi"/>
              <w:noProof/>
              <w:lang w:eastAsia="en-AU"/>
            </w:rPr>
          </w:pPr>
          <w:hyperlink w:anchor="_Toc146102973" w:history="1">
            <w:r w:rsidR="004F6A51" w:rsidRPr="007F2758">
              <w:rPr>
                <w:rStyle w:val="Hyperlink"/>
                <w:noProof/>
                <w:lang w:eastAsia="en-AU"/>
              </w:rPr>
              <w:t xml:space="preserve">6. </w:t>
            </w:r>
            <w:r w:rsidR="004F6A51">
              <w:rPr>
                <w:rFonts w:asciiTheme="minorHAnsi" w:eastAsiaTheme="minorEastAsia" w:hAnsiTheme="minorHAnsi" w:cstheme="minorBidi"/>
                <w:noProof/>
                <w:lang w:eastAsia="en-AU"/>
              </w:rPr>
              <w:tab/>
            </w:r>
            <w:r w:rsidR="004F6A51" w:rsidRPr="007F2758">
              <w:rPr>
                <w:rStyle w:val="Hyperlink"/>
                <w:noProof/>
                <w:lang w:eastAsia="en-AU"/>
              </w:rPr>
              <w:t>Application and panel assessment process</w:t>
            </w:r>
            <w:r w:rsidR="004F6A51">
              <w:rPr>
                <w:noProof/>
                <w:webHidden/>
              </w:rPr>
              <w:tab/>
            </w:r>
            <w:r w:rsidR="004F6A51">
              <w:rPr>
                <w:noProof/>
                <w:webHidden/>
              </w:rPr>
              <w:fldChar w:fldCharType="begin"/>
            </w:r>
            <w:r w:rsidR="004F6A51">
              <w:rPr>
                <w:noProof/>
                <w:webHidden/>
              </w:rPr>
              <w:instrText xml:space="preserve"> PAGEREF _Toc146102973 \h </w:instrText>
            </w:r>
            <w:r w:rsidR="004F6A51">
              <w:rPr>
                <w:noProof/>
                <w:webHidden/>
              </w:rPr>
            </w:r>
            <w:r w:rsidR="004F6A51">
              <w:rPr>
                <w:noProof/>
                <w:webHidden/>
              </w:rPr>
              <w:fldChar w:fldCharType="separate"/>
            </w:r>
            <w:r w:rsidR="000D2506">
              <w:rPr>
                <w:noProof/>
                <w:webHidden/>
              </w:rPr>
              <w:t>9</w:t>
            </w:r>
            <w:r w:rsidR="004F6A51">
              <w:rPr>
                <w:noProof/>
                <w:webHidden/>
              </w:rPr>
              <w:fldChar w:fldCharType="end"/>
            </w:r>
          </w:hyperlink>
        </w:p>
        <w:p w14:paraId="35E07E50" w14:textId="77777777" w:rsidR="004F6A51" w:rsidRDefault="00000000">
          <w:pPr>
            <w:pStyle w:val="TOC1"/>
            <w:tabs>
              <w:tab w:val="left" w:pos="660"/>
              <w:tab w:val="right" w:leader="dot" w:pos="10308"/>
            </w:tabs>
            <w:rPr>
              <w:rFonts w:asciiTheme="minorHAnsi" w:eastAsiaTheme="minorEastAsia" w:hAnsiTheme="minorHAnsi" w:cstheme="minorBidi"/>
              <w:noProof/>
              <w:lang w:eastAsia="en-AU"/>
            </w:rPr>
          </w:pPr>
          <w:hyperlink w:anchor="_Toc146102974" w:history="1">
            <w:r w:rsidR="004F6A51" w:rsidRPr="007F2758">
              <w:rPr>
                <w:rStyle w:val="Hyperlink"/>
                <w:noProof/>
                <w:lang w:eastAsia="en-AU"/>
              </w:rPr>
              <w:t xml:space="preserve">7. </w:t>
            </w:r>
            <w:r w:rsidR="004F6A51">
              <w:rPr>
                <w:rFonts w:asciiTheme="minorHAnsi" w:eastAsiaTheme="minorEastAsia" w:hAnsiTheme="minorHAnsi" w:cstheme="minorBidi"/>
                <w:noProof/>
                <w:lang w:eastAsia="en-AU"/>
              </w:rPr>
              <w:tab/>
            </w:r>
            <w:r w:rsidR="004F6A51" w:rsidRPr="007F2758">
              <w:rPr>
                <w:rStyle w:val="Hyperlink"/>
                <w:noProof/>
                <w:lang w:eastAsia="en-AU"/>
              </w:rPr>
              <w:t>Assessment Criteria</w:t>
            </w:r>
            <w:r w:rsidR="004F6A51">
              <w:rPr>
                <w:noProof/>
                <w:webHidden/>
              </w:rPr>
              <w:tab/>
            </w:r>
            <w:r w:rsidR="004F6A51">
              <w:rPr>
                <w:noProof/>
                <w:webHidden/>
              </w:rPr>
              <w:fldChar w:fldCharType="begin"/>
            </w:r>
            <w:r w:rsidR="004F6A51">
              <w:rPr>
                <w:noProof/>
                <w:webHidden/>
              </w:rPr>
              <w:instrText xml:space="preserve"> PAGEREF _Toc146102974 \h </w:instrText>
            </w:r>
            <w:r w:rsidR="004F6A51">
              <w:rPr>
                <w:noProof/>
                <w:webHidden/>
              </w:rPr>
            </w:r>
            <w:r w:rsidR="004F6A51">
              <w:rPr>
                <w:noProof/>
                <w:webHidden/>
              </w:rPr>
              <w:fldChar w:fldCharType="separate"/>
            </w:r>
            <w:r w:rsidR="000D2506">
              <w:rPr>
                <w:noProof/>
                <w:webHidden/>
              </w:rPr>
              <w:t>9</w:t>
            </w:r>
            <w:r w:rsidR="004F6A51">
              <w:rPr>
                <w:noProof/>
                <w:webHidden/>
              </w:rPr>
              <w:fldChar w:fldCharType="end"/>
            </w:r>
          </w:hyperlink>
        </w:p>
        <w:p w14:paraId="005A85AE" w14:textId="48EA6ECA" w:rsidR="004F6A51" w:rsidRDefault="00000000">
          <w:pPr>
            <w:pStyle w:val="TOC1"/>
            <w:tabs>
              <w:tab w:val="left" w:pos="660"/>
              <w:tab w:val="right" w:leader="dot" w:pos="10308"/>
            </w:tabs>
            <w:rPr>
              <w:rFonts w:asciiTheme="minorHAnsi" w:eastAsiaTheme="minorEastAsia" w:hAnsiTheme="minorHAnsi" w:cstheme="minorBidi"/>
              <w:noProof/>
              <w:lang w:eastAsia="en-AU"/>
            </w:rPr>
          </w:pPr>
          <w:hyperlink w:anchor="_Toc146102975" w:history="1">
            <w:r w:rsidR="004F6A51" w:rsidRPr="007F2758">
              <w:rPr>
                <w:rStyle w:val="Hyperlink"/>
                <w:noProof/>
                <w:lang w:eastAsia="en-AU"/>
              </w:rPr>
              <w:t xml:space="preserve">8. </w:t>
            </w:r>
            <w:r w:rsidR="004F6A51">
              <w:rPr>
                <w:rFonts w:asciiTheme="minorHAnsi" w:eastAsiaTheme="minorEastAsia" w:hAnsiTheme="minorHAnsi" w:cstheme="minorBidi"/>
                <w:noProof/>
                <w:lang w:eastAsia="en-AU"/>
              </w:rPr>
              <w:tab/>
            </w:r>
            <w:r w:rsidR="004F6A51" w:rsidRPr="007F2758">
              <w:rPr>
                <w:rStyle w:val="Hyperlink"/>
                <w:noProof/>
                <w:lang w:eastAsia="en-AU"/>
              </w:rPr>
              <w:t>Advice and support</w:t>
            </w:r>
            <w:r w:rsidR="004F6A51">
              <w:rPr>
                <w:noProof/>
                <w:webHidden/>
              </w:rPr>
              <w:tab/>
            </w:r>
            <w:r w:rsidR="004F6A51">
              <w:rPr>
                <w:noProof/>
                <w:webHidden/>
              </w:rPr>
              <w:fldChar w:fldCharType="begin"/>
            </w:r>
            <w:r w:rsidR="004F6A51">
              <w:rPr>
                <w:noProof/>
                <w:webHidden/>
              </w:rPr>
              <w:instrText xml:space="preserve"> PAGEREF _Toc146102975 \h </w:instrText>
            </w:r>
            <w:r w:rsidR="004F6A51">
              <w:rPr>
                <w:noProof/>
                <w:webHidden/>
              </w:rPr>
            </w:r>
            <w:r w:rsidR="004F6A51">
              <w:rPr>
                <w:noProof/>
                <w:webHidden/>
              </w:rPr>
              <w:fldChar w:fldCharType="separate"/>
            </w:r>
            <w:r w:rsidR="000D2506">
              <w:rPr>
                <w:noProof/>
                <w:webHidden/>
              </w:rPr>
              <w:t>11</w:t>
            </w:r>
            <w:r w:rsidR="004F6A51">
              <w:rPr>
                <w:noProof/>
                <w:webHidden/>
              </w:rPr>
              <w:fldChar w:fldCharType="end"/>
            </w:r>
          </w:hyperlink>
        </w:p>
        <w:p w14:paraId="2BC703AF" w14:textId="77777777" w:rsidR="004F6A51" w:rsidRDefault="00000000">
          <w:pPr>
            <w:pStyle w:val="TOC1"/>
            <w:tabs>
              <w:tab w:val="left" w:pos="660"/>
              <w:tab w:val="right" w:leader="dot" w:pos="10308"/>
            </w:tabs>
            <w:rPr>
              <w:rFonts w:asciiTheme="minorHAnsi" w:eastAsiaTheme="minorEastAsia" w:hAnsiTheme="minorHAnsi" w:cstheme="minorBidi"/>
              <w:noProof/>
              <w:lang w:eastAsia="en-AU"/>
            </w:rPr>
          </w:pPr>
          <w:hyperlink w:anchor="_Toc146102976" w:history="1">
            <w:r w:rsidR="004F6A51" w:rsidRPr="007F2758">
              <w:rPr>
                <w:rStyle w:val="Hyperlink"/>
                <w:noProof/>
                <w:lang w:eastAsia="en-AU"/>
              </w:rPr>
              <w:t xml:space="preserve">9. </w:t>
            </w:r>
            <w:r w:rsidR="004F6A51">
              <w:rPr>
                <w:rFonts w:asciiTheme="minorHAnsi" w:eastAsiaTheme="minorEastAsia" w:hAnsiTheme="minorHAnsi" w:cstheme="minorBidi"/>
                <w:noProof/>
                <w:lang w:eastAsia="en-AU"/>
              </w:rPr>
              <w:tab/>
            </w:r>
            <w:r w:rsidR="004F6A51" w:rsidRPr="007F2758">
              <w:rPr>
                <w:rStyle w:val="Hyperlink"/>
                <w:noProof/>
                <w:lang w:eastAsia="en-AU"/>
              </w:rPr>
              <w:t>Confidentiality</w:t>
            </w:r>
            <w:r w:rsidR="004F6A51">
              <w:rPr>
                <w:noProof/>
                <w:webHidden/>
              </w:rPr>
              <w:tab/>
            </w:r>
            <w:r w:rsidR="004F6A51">
              <w:rPr>
                <w:noProof/>
                <w:webHidden/>
              </w:rPr>
              <w:fldChar w:fldCharType="begin"/>
            </w:r>
            <w:r w:rsidR="004F6A51">
              <w:rPr>
                <w:noProof/>
                <w:webHidden/>
              </w:rPr>
              <w:instrText xml:space="preserve"> PAGEREF _Toc146102976 \h </w:instrText>
            </w:r>
            <w:r w:rsidR="004F6A51">
              <w:rPr>
                <w:noProof/>
                <w:webHidden/>
              </w:rPr>
            </w:r>
            <w:r w:rsidR="004F6A51">
              <w:rPr>
                <w:noProof/>
                <w:webHidden/>
              </w:rPr>
              <w:fldChar w:fldCharType="separate"/>
            </w:r>
            <w:r w:rsidR="000D2506">
              <w:rPr>
                <w:noProof/>
                <w:webHidden/>
              </w:rPr>
              <w:t>11</w:t>
            </w:r>
            <w:r w:rsidR="004F6A51">
              <w:rPr>
                <w:noProof/>
                <w:webHidden/>
              </w:rPr>
              <w:fldChar w:fldCharType="end"/>
            </w:r>
          </w:hyperlink>
        </w:p>
        <w:p w14:paraId="0CE50F25" w14:textId="77777777" w:rsidR="004F6A51" w:rsidRDefault="00000000">
          <w:pPr>
            <w:pStyle w:val="TOC1"/>
            <w:tabs>
              <w:tab w:val="left" w:pos="660"/>
              <w:tab w:val="right" w:leader="dot" w:pos="10308"/>
            </w:tabs>
            <w:rPr>
              <w:rFonts w:asciiTheme="minorHAnsi" w:eastAsiaTheme="minorEastAsia" w:hAnsiTheme="minorHAnsi" w:cstheme="minorBidi"/>
              <w:noProof/>
              <w:lang w:eastAsia="en-AU"/>
            </w:rPr>
          </w:pPr>
          <w:hyperlink w:anchor="_Toc146102977" w:history="1">
            <w:r w:rsidR="004F6A51" w:rsidRPr="007F2758">
              <w:rPr>
                <w:rStyle w:val="Hyperlink"/>
                <w:noProof/>
                <w:lang w:eastAsia="en-AU"/>
              </w:rPr>
              <w:t xml:space="preserve">10. </w:t>
            </w:r>
            <w:r w:rsidR="004F6A51">
              <w:rPr>
                <w:rFonts w:asciiTheme="minorHAnsi" w:eastAsiaTheme="minorEastAsia" w:hAnsiTheme="minorHAnsi" w:cstheme="minorBidi"/>
                <w:noProof/>
                <w:lang w:eastAsia="en-AU"/>
              </w:rPr>
              <w:tab/>
            </w:r>
            <w:r w:rsidR="004F6A51" w:rsidRPr="007F2758">
              <w:rPr>
                <w:rStyle w:val="Hyperlink"/>
                <w:noProof/>
                <w:lang w:eastAsia="en-AU"/>
              </w:rPr>
              <w:t>Relationship</w:t>
            </w:r>
            <w:r w:rsidR="004F6A51">
              <w:rPr>
                <w:noProof/>
                <w:webHidden/>
              </w:rPr>
              <w:tab/>
            </w:r>
            <w:r w:rsidR="004F6A51">
              <w:rPr>
                <w:noProof/>
                <w:webHidden/>
              </w:rPr>
              <w:fldChar w:fldCharType="begin"/>
            </w:r>
            <w:r w:rsidR="004F6A51">
              <w:rPr>
                <w:noProof/>
                <w:webHidden/>
              </w:rPr>
              <w:instrText xml:space="preserve"> PAGEREF _Toc146102977 \h </w:instrText>
            </w:r>
            <w:r w:rsidR="004F6A51">
              <w:rPr>
                <w:noProof/>
                <w:webHidden/>
              </w:rPr>
            </w:r>
            <w:r w:rsidR="004F6A51">
              <w:rPr>
                <w:noProof/>
                <w:webHidden/>
              </w:rPr>
              <w:fldChar w:fldCharType="separate"/>
            </w:r>
            <w:r w:rsidR="000D2506">
              <w:rPr>
                <w:noProof/>
                <w:webHidden/>
              </w:rPr>
              <w:t>11</w:t>
            </w:r>
            <w:r w:rsidR="004F6A51">
              <w:rPr>
                <w:noProof/>
                <w:webHidden/>
              </w:rPr>
              <w:fldChar w:fldCharType="end"/>
            </w:r>
          </w:hyperlink>
        </w:p>
        <w:p w14:paraId="4A82B3A4" w14:textId="35C3BB87" w:rsidR="004F6A51" w:rsidRDefault="00000000">
          <w:pPr>
            <w:pStyle w:val="TOC1"/>
            <w:tabs>
              <w:tab w:val="left" w:pos="660"/>
              <w:tab w:val="right" w:leader="dot" w:pos="10308"/>
            </w:tabs>
            <w:rPr>
              <w:rFonts w:asciiTheme="minorHAnsi" w:eastAsiaTheme="minorEastAsia" w:hAnsiTheme="minorHAnsi" w:cstheme="minorBidi"/>
              <w:noProof/>
              <w:lang w:eastAsia="en-AU"/>
            </w:rPr>
          </w:pPr>
          <w:hyperlink w:anchor="_Toc146102978" w:history="1">
            <w:r w:rsidR="004F6A51" w:rsidRPr="007F2758">
              <w:rPr>
                <w:rStyle w:val="Hyperlink"/>
                <w:noProof/>
                <w:lang w:eastAsia="en-AU"/>
              </w:rPr>
              <w:t xml:space="preserve">11. </w:t>
            </w:r>
            <w:r w:rsidR="004F6A51">
              <w:rPr>
                <w:rFonts w:asciiTheme="minorHAnsi" w:eastAsiaTheme="minorEastAsia" w:hAnsiTheme="minorHAnsi" w:cstheme="minorBidi"/>
                <w:noProof/>
                <w:lang w:eastAsia="en-AU"/>
              </w:rPr>
              <w:tab/>
            </w:r>
            <w:r w:rsidR="004F6A51" w:rsidRPr="007F2758">
              <w:rPr>
                <w:rStyle w:val="Hyperlink"/>
                <w:noProof/>
                <w:lang w:eastAsia="en-AU"/>
              </w:rPr>
              <w:t>Participation at applicant’s cost</w:t>
            </w:r>
            <w:r w:rsidR="004F6A51">
              <w:rPr>
                <w:noProof/>
                <w:webHidden/>
              </w:rPr>
              <w:tab/>
            </w:r>
            <w:r w:rsidR="004F6A51">
              <w:rPr>
                <w:noProof/>
                <w:webHidden/>
              </w:rPr>
              <w:fldChar w:fldCharType="begin"/>
            </w:r>
            <w:r w:rsidR="004F6A51">
              <w:rPr>
                <w:noProof/>
                <w:webHidden/>
              </w:rPr>
              <w:instrText xml:space="preserve"> PAGEREF _Toc146102978 \h </w:instrText>
            </w:r>
            <w:r w:rsidR="004F6A51">
              <w:rPr>
                <w:noProof/>
                <w:webHidden/>
              </w:rPr>
            </w:r>
            <w:r w:rsidR="004F6A51">
              <w:rPr>
                <w:noProof/>
                <w:webHidden/>
              </w:rPr>
              <w:fldChar w:fldCharType="separate"/>
            </w:r>
            <w:r w:rsidR="000D2506">
              <w:rPr>
                <w:noProof/>
                <w:webHidden/>
              </w:rPr>
              <w:t>12</w:t>
            </w:r>
            <w:r w:rsidR="004F6A51">
              <w:rPr>
                <w:noProof/>
                <w:webHidden/>
              </w:rPr>
              <w:fldChar w:fldCharType="end"/>
            </w:r>
          </w:hyperlink>
        </w:p>
        <w:p w14:paraId="13327312" w14:textId="77777777" w:rsidR="004F6A51" w:rsidRDefault="00000000">
          <w:pPr>
            <w:pStyle w:val="TOC1"/>
            <w:tabs>
              <w:tab w:val="left" w:pos="660"/>
              <w:tab w:val="right" w:leader="dot" w:pos="10308"/>
            </w:tabs>
            <w:rPr>
              <w:rFonts w:asciiTheme="minorHAnsi" w:eastAsiaTheme="minorEastAsia" w:hAnsiTheme="minorHAnsi" w:cstheme="minorBidi"/>
              <w:noProof/>
              <w:lang w:eastAsia="en-AU"/>
            </w:rPr>
          </w:pPr>
          <w:hyperlink w:anchor="_Toc146102979" w:history="1">
            <w:r w:rsidR="004F6A51" w:rsidRPr="007F2758">
              <w:rPr>
                <w:rStyle w:val="Hyperlink"/>
                <w:noProof/>
                <w:lang w:eastAsia="en-AU"/>
              </w:rPr>
              <w:t xml:space="preserve">12. </w:t>
            </w:r>
            <w:r w:rsidR="004F6A51">
              <w:rPr>
                <w:rFonts w:asciiTheme="minorHAnsi" w:eastAsiaTheme="minorEastAsia" w:hAnsiTheme="minorHAnsi" w:cstheme="minorBidi"/>
                <w:noProof/>
                <w:lang w:eastAsia="en-AU"/>
              </w:rPr>
              <w:tab/>
            </w:r>
            <w:r w:rsidR="004F6A51" w:rsidRPr="007F2758">
              <w:rPr>
                <w:rStyle w:val="Hyperlink"/>
                <w:noProof/>
                <w:lang w:eastAsia="en-AU"/>
              </w:rPr>
              <w:t>Intellectual property</w:t>
            </w:r>
            <w:r w:rsidR="004F6A51">
              <w:rPr>
                <w:noProof/>
                <w:webHidden/>
              </w:rPr>
              <w:tab/>
            </w:r>
            <w:r w:rsidR="004F6A51">
              <w:rPr>
                <w:noProof/>
                <w:webHidden/>
              </w:rPr>
              <w:fldChar w:fldCharType="begin"/>
            </w:r>
            <w:r w:rsidR="004F6A51">
              <w:rPr>
                <w:noProof/>
                <w:webHidden/>
              </w:rPr>
              <w:instrText xml:space="preserve"> PAGEREF _Toc146102979 \h </w:instrText>
            </w:r>
            <w:r w:rsidR="004F6A51">
              <w:rPr>
                <w:noProof/>
                <w:webHidden/>
              </w:rPr>
            </w:r>
            <w:r w:rsidR="004F6A51">
              <w:rPr>
                <w:noProof/>
                <w:webHidden/>
              </w:rPr>
              <w:fldChar w:fldCharType="separate"/>
            </w:r>
            <w:r w:rsidR="000D2506">
              <w:rPr>
                <w:noProof/>
                <w:webHidden/>
              </w:rPr>
              <w:t>12</w:t>
            </w:r>
            <w:r w:rsidR="004F6A51">
              <w:rPr>
                <w:noProof/>
                <w:webHidden/>
              </w:rPr>
              <w:fldChar w:fldCharType="end"/>
            </w:r>
          </w:hyperlink>
        </w:p>
        <w:p w14:paraId="117540E0" w14:textId="77777777" w:rsidR="004F6A51" w:rsidRDefault="00000000">
          <w:pPr>
            <w:pStyle w:val="TOC1"/>
            <w:tabs>
              <w:tab w:val="left" w:pos="660"/>
              <w:tab w:val="right" w:leader="dot" w:pos="10308"/>
            </w:tabs>
            <w:rPr>
              <w:rFonts w:asciiTheme="minorHAnsi" w:eastAsiaTheme="minorEastAsia" w:hAnsiTheme="minorHAnsi" w:cstheme="minorBidi"/>
              <w:noProof/>
              <w:lang w:eastAsia="en-AU"/>
            </w:rPr>
          </w:pPr>
          <w:hyperlink w:anchor="_Toc146102980" w:history="1">
            <w:r w:rsidR="004F6A51" w:rsidRPr="007F2758">
              <w:rPr>
                <w:rStyle w:val="Hyperlink"/>
                <w:noProof/>
                <w:lang w:eastAsia="en-AU"/>
              </w:rPr>
              <w:t xml:space="preserve">13. </w:t>
            </w:r>
            <w:r w:rsidR="004F6A51">
              <w:rPr>
                <w:rFonts w:asciiTheme="minorHAnsi" w:eastAsiaTheme="minorEastAsia" w:hAnsiTheme="minorHAnsi" w:cstheme="minorBidi"/>
                <w:noProof/>
                <w:lang w:eastAsia="en-AU"/>
              </w:rPr>
              <w:tab/>
            </w:r>
            <w:r w:rsidR="004F6A51" w:rsidRPr="007F2758">
              <w:rPr>
                <w:rStyle w:val="Hyperlink"/>
                <w:noProof/>
                <w:lang w:eastAsia="en-AU"/>
              </w:rPr>
              <w:t>Privacy</w:t>
            </w:r>
            <w:r w:rsidR="004F6A51">
              <w:rPr>
                <w:noProof/>
                <w:webHidden/>
              </w:rPr>
              <w:tab/>
            </w:r>
            <w:r w:rsidR="004F6A51">
              <w:rPr>
                <w:noProof/>
                <w:webHidden/>
              </w:rPr>
              <w:fldChar w:fldCharType="begin"/>
            </w:r>
            <w:r w:rsidR="004F6A51">
              <w:rPr>
                <w:noProof/>
                <w:webHidden/>
              </w:rPr>
              <w:instrText xml:space="preserve"> PAGEREF _Toc146102980 \h </w:instrText>
            </w:r>
            <w:r w:rsidR="004F6A51">
              <w:rPr>
                <w:noProof/>
                <w:webHidden/>
              </w:rPr>
            </w:r>
            <w:r w:rsidR="004F6A51">
              <w:rPr>
                <w:noProof/>
                <w:webHidden/>
              </w:rPr>
              <w:fldChar w:fldCharType="separate"/>
            </w:r>
            <w:r w:rsidR="000D2506">
              <w:rPr>
                <w:noProof/>
                <w:webHidden/>
              </w:rPr>
              <w:t>12</w:t>
            </w:r>
            <w:r w:rsidR="004F6A51">
              <w:rPr>
                <w:noProof/>
                <w:webHidden/>
              </w:rPr>
              <w:fldChar w:fldCharType="end"/>
            </w:r>
          </w:hyperlink>
        </w:p>
        <w:p w14:paraId="5A4681DA" w14:textId="77777777" w:rsidR="004F6A51" w:rsidRDefault="00000000">
          <w:pPr>
            <w:pStyle w:val="TOC1"/>
            <w:tabs>
              <w:tab w:val="left" w:pos="660"/>
              <w:tab w:val="right" w:leader="dot" w:pos="10308"/>
            </w:tabs>
            <w:rPr>
              <w:rFonts w:asciiTheme="minorHAnsi" w:eastAsiaTheme="minorEastAsia" w:hAnsiTheme="minorHAnsi" w:cstheme="minorBidi"/>
              <w:noProof/>
              <w:lang w:eastAsia="en-AU"/>
            </w:rPr>
          </w:pPr>
          <w:hyperlink w:anchor="_Toc146102981" w:history="1">
            <w:r w:rsidR="004F6A51" w:rsidRPr="007F2758">
              <w:rPr>
                <w:rStyle w:val="Hyperlink"/>
                <w:noProof/>
                <w:lang w:eastAsia="en-AU"/>
              </w:rPr>
              <w:t>14.</w:t>
            </w:r>
            <w:r w:rsidR="004F6A51">
              <w:rPr>
                <w:rFonts w:asciiTheme="minorHAnsi" w:eastAsiaTheme="minorEastAsia" w:hAnsiTheme="minorHAnsi" w:cstheme="minorBidi"/>
                <w:noProof/>
                <w:lang w:eastAsia="en-AU"/>
              </w:rPr>
              <w:tab/>
            </w:r>
            <w:r w:rsidR="004F6A51" w:rsidRPr="007F2758">
              <w:rPr>
                <w:rStyle w:val="Hyperlink"/>
                <w:noProof/>
                <w:lang w:eastAsia="en-AU"/>
              </w:rPr>
              <w:t xml:space="preserve"> Compliance with Laws</w:t>
            </w:r>
            <w:r w:rsidR="004F6A51">
              <w:rPr>
                <w:noProof/>
                <w:webHidden/>
              </w:rPr>
              <w:tab/>
            </w:r>
            <w:r w:rsidR="004F6A51">
              <w:rPr>
                <w:noProof/>
                <w:webHidden/>
              </w:rPr>
              <w:fldChar w:fldCharType="begin"/>
            </w:r>
            <w:r w:rsidR="004F6A51">
              <w:rPr>
                <w:noProof/>
                <w:webHidden/>
              </w:rPr>
              <w:instrText xml:space="preserve"> PAGEREF _Toc146102981 \h </w:instrText>
            </w:r>
            <w:r w:rsidR="004F6A51">
              <w:rPr>
                <w:noProof/>
                <w:webHidden/>
              </w:rPr>
            </w:r>
            <w:r w:rsidR="004F6A51">
              <w:rPr>
                <w:noProof/>
                <w:webHidden/>
              </w:rPr>
              <w:fldChar w:fldCharType="separate"/>
            </w:r>
            <w:r w:rsidR="000D2506">
              <w:rPr>
                <w:noProof/>
                <w:webHidden/>
              </w:rPr>
              <w:t>13</w:t>
            </w:r>
            <w:r w:rsidR="004F6A51">
              <w:rPr>
                <w:noProof/>
                <w:webHidden/>
              </w:rPr>
              <w:fldChar w:fldCharType="end"/>
            </w:r>
          </w:hyperlink>
        </w:p>
        <w:p w14:paraId="5DF0760A" w14:textId="77777777" w:rsidR="004F6A51" w:rsidRDefault="00000000">
          <w:pPr>
            <w:pStyle w:val="TOC1"/>
            <w:tabs>
              <w:tab w:val="left" w:pos="660"/>
              <w:tab w:val="right" w:leader="dot" w:pos="10308"/>
            </w:tabs>
            <w:rPr>
              <w:rFonts w:asciiTheme="minorHAnsi" w:eastAsiaTheme="minorEastAsia" w:hAnsiTheme="minorHAnsi" w:cstheme="minorBidi"/>
              <w:noProof/>
              <w:lang w:eastAsia="en-AU"/>
            </w:rPr>
          </w:pPr>
          <w:hyperlink w:anchor="_Toc146102982" w:history="1">
            <w:r w:rsidR="004F6A51" w:rsidRPr="007F2758">
              <w:rPr>
                <w:rStyle w:val="Hyperlink"/>
                <w:noProof/>
                <w:lang w:eastAsia="en-AU"/>
              </w:rPr>
              <w:t xml:space="preserve">15. </w:t>
            </w:r>
            <w:r w:rsidR="004F6A51">
              <w:rPr>
                <w:rFonts w:asciiTheme="minorHAnsi" w:eastAsiaTheme="minorEastAsia" w:hAnsiTheme="minorHAnsi" w:cstheme="minorBidi"/>
                <w:noProof/>
                <w:lang w:eastAsia="en-AU"/>
              </w:rPr>
              <w:tab/>
            </w:r>
            <w:r w:rsidR="004F6A51" w:rsidRPr="007F2758">
              <w:rPr>
                <w:rStyle w:val="Hyperlink"/>
                <w:noProof/>
                <w:lang w:eastAsia="en-AU"/>
              </w:rPr>
              <w:t>Program duration and changes</w:t>
            </w:r>
            <w:r w:rsidR="004F6A51">
              <w:rPr>
                <w:noProof/>
                <w:webHidden/>
              </w:rPr>
              <w:tab/>
            </w:r>
            <w:r w:rsidR="004F6A51">
              <w:rPr>
                <w:noProof/>
                <w:webHidden/>
              </w:rPr>
              <w:fldChar w:fldCharType="begin"/>
            </w:r>
            <w:r w:rsidR="004F6A51">
              <w:rPr>
                <w:noProof/>
                <w:webHidden/>
              </w:rPr>
              <w:instrText xml:space="preserve"> PAGEREF _Toc146102982 \h </w:instrText>
            </w:r>
            <w:r w:rsidR="004F6A51">
              <w:rPr>
                <w:noProof/>
                <w:webHidden/>
              </w:rPr>
            </w:r>
            <w:r w:rsidR="004F6A51">
              <w:rPr>
                <w:noProof/>
                <w:webHidden/>
              </w:rPr>
              <w:fldChar w:fldCharType="separate"/>
            </w:r>
            <w:r w:rsidR="000D2506">
              <w:rPr>
                <w:noProof/>
                <w:webHidden/>
              </w:rPr>
              <w:t>13</w:t>
            </w:r>
            <w:r w:rsidR="004F6A51">
              <w:rPr>
                <w:noProof/>
                <w:webHidden/>
              </w:rPr>
              <w:fldChar w:fldCharType="end"/>
            </w:r>
          </w:hyperlink>
        </w:p>
        <w:p w14:paraId="6CED4269" w14:textId="77777777" w:rsidR="009B5CED" w:rsidRDefault="009B5CED">
          <w:r>
            <w:rPr>
              <w:b/>
              <w:bCs/>
              <w:noProof/>
            </w:rPr>
            <w:fldChar w:fldCharType="end"/>
          </w:r>
        </w:p>
      </w:sdtContent>
    </w:sdt>
    <w:p w14:paraId="65199BBF" w14:textId="77777777" w:rsidR="00FD7EE8" w:rsidRDefault="00FD7EE8" w:rsidP="00FD7EE8">
      <w:pPr>
        <w:rPr>
          <w:lang w:eastAsia="en-AU"/>
        </w:rPr>
      </w:pPr>
    </w:p>
    <w:p w14:paraId="2278D3EB" w14:textId="77777777" w:rsidR="009B013A" w:rsidRDefault="009B013A">
      <w:pPr>
        <w:rPr>
          <w:lang w:eastAsia="en-AU"/>
        </w:rPr>
      </w:pPr>
      <w:r>
        <w:rPr>
          <w:lang w:eastAsia="en-AU"/>
        </w:rPr>
        <w:br w:type="page"/>
      </w:r>
    </w:p>
    <w:p w14:paraId="10669692" w14:textId="77777777" w:rsidR="00FD7EE8" w:rsidRPr="00A1424D" w:rsidRDefault="00A36536" w:rsidP="003C6310">
      <w:pPr>
        <w:pStyle w:val="Heading1"/>
        <w:spacing w:after="120"/>
        <w:rPr>
          <w:lang w:eastAsia="en-AU"/>
        </w:rPr>
      </w:pPr>
      <w:bookmarkStart w:id="3" w:name="_Toc146102964"/>
      <w:r w:rsidRPr="00A1424D">
        <w:rPr>
          <w:lang w:eastAsia="en-AU"/>
        </w:rPr>
        <w:lastRenderedPageBreak/>
        <w:t>1.</w:t>
      </w:r>
      <w:r w:rsidRPr="00A1424D">
        <w:rPr>
          <w:lang w:eastAsia="en-AU"/>
        </w:rPr>
        <w:tab/>
      </w:r>
      <w:r w:rsidR="00FD7EE8" w:rsidRPr="00A1424D">
        <w:rPr>
          <w:lang w:eastAsia="en-AU"/>
        </w:rPr>
        <w:t>Introduction</w:t>
      </w:r>
      <w:bookmarkEnd w:id="3"/>
      <w:r w:rsidR="00FD7EE8" w:rsidRPr="00A1424D">
        <w:rPr>
          <w:lang w:eastAsia="en-AU"/>
        </w:rPr>
        <w:t xml:space="preserve"> </w:t>
      </w:r>
    </w:p>
    <w:p w14:paraId="4AAB1B5B" w14:textId="6657A29A" w:rsidR="00010D2F" w:rsidRPr="00A1424D" w:rsidRDefault="00FE460C" w:rsidP="00F831A4">
      <w:pPr>
        <w:spacing w:after="160"/>
        <w:rPr>
          <w:rFonts w:asciiTheme="minorHAnsi" w:hAnsiTheme="minorHAnsi" w:cs="Arial"/>
          <w:szCs w:val="24"/>
        </w:rPr>
      </w:pPr>
      <w:r w:rsidRPr="00A1424D">
        <w:rPr>
          <w:rFonts w:asciiTheme="minorHAnsi" w:hAnsiTheme="minorHAnsi" w:cs="Arial"/>
          <w:szCs w:val="24"/>
        </w:rPr>
        <w:t xml:space="preserve">The </w:t>
      </w:r>
      <w:r w:rsidR="00A71D58" w:rsidRPr="00E44BCC">
        <w:rPr>
          <w:rFonts w:asciiTheme="minorHAnsi" w:hAnsiTheme="minorHAnsi" w:cs="Arial"/>
          <w:b/>
          <w:szCs w:val="24"/>
        </w:rPr>
        <w:t>Circular Economy NT (CENT)</w:t>
      </w:r>
      <w:r w:rsidR="00A71D58">
        <w:rPr>
          <w:rFonts w:asciiTheme="minorHAnsi" w:hAnsiTheme="minorHAnsi" w:cs="Arial"/>
          <w:b/>
          <w:szCs w:val="24"/>
        </w:rPr>
        <w:t xml:space="preserve"> </w:t>
      </w:r>
      <w:r w:rsidR="00A95E7C" w:rsidRPr="00A95E7C">
        <w:rPr>
          <w:rFonts w:asciiTheme="minorHAnsi" w:hAnsiTheme="minorHAnsi" w:cs="Arial"/>
          <w:szCs w:val="24"/>
        </w:rPr>
        <w:t xml:space="preserve">grant program </w:t>
      </w:r>
      <w:r w:rsidR="007321F5" w:rsidRPr="00A1424D">
        <w:rPr>
          <w:rFonts w:asciiTheme="minorHAnsi" w:hAnsiTheme="minorHAnsi" w:cs="Arial"/>
          <w:szCs w:val="24"/>
        </w:rPr>
        <w:t xml:space="preserve">is </w:t>
      </w:r>
      <w:r w:rsidR="000B1553">
        <w:rPr>
          <w:rFonts w:asciiTheme="minorHAnsi" w:hAnsiTheme="minorHAnsi" w:cs="Arial"/>
          <w:szCs w:val="24"/>
        </w:rPr>
        <w:t xml:space="preserve">a Territory </w:t>
      </w:r>
      <w:r w:rsidR="00A92D07" w:rsidRPr="00A1424D">
        <w:rPr>
          <w:rFonts w:asciiTheme="minorHAnsi" w:hAnsiTheme="minorHAnsi" w:cs="Arial"/>
          <w:szCs w:val="24"/>
        </w:rPr>
        <w:t xml:space="preserve">Government initiative to </w:t>
      </w:r>
      <w:r w:rsidR="00010D2F" w:rsidRPr="00A1424D">
        <w:rPr>
          <w:rFonts w:asciiTheme="minorHAnsi" w:hAnsiTheme="minorHAnsi" w:cs="Arial"/>
          <w:szCs w:val="24"/>
        </w:rPr>
        <w:t xml:space="preserve">improve recycling outcomes </w:t>
      </w:r>
      <w:r w:rsidR="000B1553">
        <w:rPr>
          <w:rFonts w:asciiTheme="minorHAnsi" w:hAnsiTheme="minorHAnsi" w:cs="Arial"/>
          <w:szCs w:val="24"/>
        </w:rPr>
        <w:t>in the Northern Territory</w:t>
      </w:r>
      <w:r w:rsidR="002900F3">
        <w:rPr>
          <w:rFonts w:asciiTheme="minorHAnsi" w:hAnsiTheme="minorHAnsi" w:cs="Arial"/>
          <w:szCs w:val="24"/>
        </w:rPr>
        <w:t xml:space="preserve"> (‘Territory’)</w:t>
      </w:r>
      <w:r w:rsidR="000B1553">
        <w:rPr>
          <w:rFonts w:asciiTheme="minorHAnsi" w:hAnsiTheme="minorHAnsi" w:cs="Arial"/>
          <w:szCs w:val="24"/>
        </w:rPr>
        <w:t xml:space="preserve"> </w:t>
      </w:r>
      <w:r w:rsidR="00010D2F" w:rsidRPr="00A1424D">
        <w:rPr>
          <w:rFonts w:asciiTheme="minorHAnsi" w:hAnsiTheme="minorHAnsi" w:cs="Arial"/>
          <w:szCs w:val="24"/>
        </w:rPr>
        <w:t xml:space="preserve">by offering funding </w:t>
      </w:r>
      <w:r w:rsidR="00A92D07" w:rsidRPr="00A1424D">
        <w:rPr>
          <w:rFonts w:asciiTheme="minorHAnsi" w:hAnsiTheme="minorHAnsi" w:cs="Arial"/>
          <w:szCs w:val="24"/>
        </w:rPr>
        <w:t xml:space="preserve">support </w:t>
      </w:r>
      <w:r w:rsidR="00010D2F" w:rsidRPr="00A1424D">
        <w:rPr>
          <w:rFonts w:asciiTheme="minorHAnsi" w:hAnsiTheme="minorHAnsi" w:cs="Arial"/>
          <w:szCs w:val="24"/>
        </w:rPr>
        <w:t xml:space="preserve">to </w:t>
      </w:r>
      <w:r w:rsidR="007321F5" w:rsidRPr="00A1424D">
        <w:rPr>
          <w:rFonts w:asciiTheme="minorHAnsi" w:hAnsiTheme="minorHAnsi" w:cs="Arial"/>
          <w:szCs w:val="24"/>
        </w:rPr>
        <w:t xml:space="preserve">capital infrastructure projects that address critical gaps in </w:t>
      </w:r>
      <w:r w:rsidR="00832582">
        <w:rPr>
          <w:rFonts w:asciiTheme="minorHAnsi" w:hAnsiTheme="minorHAnsi" w:cs="Arial"/>
          <w:szCs w:val="24"/>
        </w:rPr>
        <w:t xml:space="preserve">the </w:t>
      </w:r>
      <w:r w:rsidR="007321F5" w:rsidRPr="00A1424D">
        <w:rPr>
          <w:rFonts w:asciiTheme="minorHAnsi" w:hAnsiTheme="minorHAnsi" w:cs="Arial"/>
          <w:szCs w:val="24"/>
        </w:rPr>
        <w:t>Territory’s</w:t>
      </w:r>
      <w:r w:rsidR="00A92D07" w:rsidRPr="00A1424D">
        <w:rPr>
          <w:rFonts w:asciiTheme="minorHAnsi" w:hAnsiTheme="minorHAnsi" w:cs="Arial"/>
          <w:szCs w:val="24"/>
        </w:rPr>
        <w:t xml:space="preserve"> </w:t>
      </w:r>
      <w:r w:rsidR="00010D2F" w:rsidRPr="00A1424D">
        <w:rPr>
          <w:rFonts w:asciiTheme="minorHAnsi" w:hAnsiTheme="minorHAnsi" w:cs="Arial"/>
          <w:szCs w:val="24"/>
        </w:rPr>
        <w:t>waste management and resource recovery system.</w:t>
      </w:r>
    </w:p>
    <w:p w14:paraId="2145545E" w14:textId="77777777" w:rsidR="000A1D39" w:rsidRPr="00A1424D" w:rsidRDefault="000A1D39" w:rsidP="00F831A4">
      <w:pPr>
        <w:spacing w:after="160"/>
        <w:rPr>
          <w:rFonts w:asciiTheme="minorHAnsi" w:hAnsiTheme="minorHAnsi" w:cs="Arial"/>
          <w:szCs w:val="24"/>
        </w:rPr>
      </w:pPr>
      <w:r w:rsidRPr="00A1424D">
        <w:rPr>
          <w:rFonts w:asciiTheme="minorHAnsi" w:hAnsiTheme="minorHAnsi" w:cs="Arial"/>
          <w:szCs w:val="24"/>
        </w:rPr>
        <w:t xml:space="preserve">The </w:t>
      </w:r>
      <w:r w:rsidR="00A92D07" w:rsidRPr="00A1424D">
        <w:rPr>
          <w:rFonts w:asciiTheme="minorHAnsi" w:hAnsiTheme="minorHAnsi" w:cs="Arial"/>
          <w:szCs w:val="24"/>
        </w:rPr>
        <w:t xml:space="preserve">$1.5 million </w:t>
      </w:r>
      <w:r w:rsidR="000D2506">
        <w:rPr>
          <w:rFonts w:asciiTheme="minorHAnsi" w:hAnsiTheme="minorHAnsi" w:cs="Arial"/>
          <w:szCs w:val="24"/>
        </w:rPr>
        <w:t xml:space="preserve">competitive </w:t>
      </w:r>
      <w:r w:rsidR="008D5B6B" w:rsidRPr="00A1424D">
        <w:rPr>
          <w:rFonts w:asciiTheme="minorHAnsi" w:hAnsiTheme="minorHAnsi" w:cs="Arial"/>
          <w:szCs w:val="24"/>
        </w:rPr>
        <w:t xml:space="preserve">grant program </w:t>
      </w:r>
      <w:r w:rsidR="00A92D07" w:rsidRPr="00A1424D">
        <w:rPr>
          <w:rFonts w:asciiTheme="minorHAnsi" w:hAnsiTheme="minorHAnsi" w:cs="Arial"/>
          <w:szCs w:val="24"/>
        </w:rPr>
        <w:t xml:space="preserve">aims to attract private sector investment to develop transformational recycling infrastructure </w:t>
      </w:r>
      <w:r w:rsidR="00F831A4" w:rsidRPr="00A1424D">
        <w:rPr>
          <w:rFonts w:asciiTheme="minorHAnsi" w:hAnsiTheme="minorHAnsi" w:cs="Arial"/>
          <w:szCs w:val="24"/>
        </w:rPr>
        <w:t xml:space="preserve">and </w:t>
      </w:r>
      <w:r w:rsidR="00F56FBF" w:rsidRPr="00A1424D">
        <w:rPr>
          <w:rFonts w:asciiTheme="minorHAnsi" w:hAnsiTheme="minorHAnsi" w:cs="Arial"/>
          <w:szCs w:val="24"/>
        </w:rPr>
        <w:t xml:space="preserve">strengthen the circular economy industry as a contributor to the Territory’s </w:t>
      </w:r>
      <w:r w:rsidR="001859FF" w:rsidRPr="00A1424D">
        <w:rPr>
          <w:rFonts w:asciiTheme="minorHAnsi" w:hAnsiTheme="minorHAnsi" w:cs="Arial"/>
          <w:szCs w:val="24"/>
        </w:rPr>
        <w:t xml:space="preserve">vision to achieve a </w:t>
      </w:r>
      <w:r w:rsidR="00F56FBF" w:rsidRPr="00A1424D">
        <w:rPr>
          <w:rFonts w:asciiTheme="minorHAnsi" w:hAnsiTheme="minorHAnsi" w:cs="Arial"/>
          <w:szCs w:val="24"/>
        </w:rPr>
        <w:t>$40 billion</w:t>
      </w:r>
      <w:r w:rsidR="001859FF" w:rsidRPr="00A1424D">
        <w:rPr>
          <w:rFonts w:asciiTheme="minorHAnsi" w:hAnsiTheme="minorHAnsi" w:cs="Arial"/>
          <w:szCs w:val="24"/>
        </w:rPr>
        <w:t xml:space="preserve"> economy</w:t>
      </w:r>
      <w:r w:rsidR="00F56FBF" w:rsidRPr="00A1424D">
        <w:rPr>
          <w:rFonts w:asciiTheme="minorHAnsi" w:hAnsiTheme="minorHAnsi" w:cs="Arial"/>
          <w:szCs w:val="24"/>
        </w:rPr>
        <w:t xml:space="preserve"> by 2030</w:t>
      </w:r>
      <w:r w:rsidRPr="00A1424D">
        <w:rPr>
          <w:rFonts w:asciiTheme="minorHAnsi" w:hAnsiTheme="minorHAnsi" w:cs="Arial"/>
          <w:szCs w:val="24"/>
        </w:rPr>
        <w:t xml:space="preserve">.  </w:t>
      </w:r>
    </w:p>
    <w:p w14:paraId="7BC2599C" w14:textId="7CD3A86B" w:rsidR="000B1553" w:rsidRDefault="00AC4C90" w:rsidP="00BC4D57">
      <w:pPr>
        <w:tabs>
          <w:tab w:val="left" w:pos="567"/>
          <w:tab w:val="left" w:pos="1134"/>
        </w:tabs>
        <w:spacing w:after="0"/>
        <w:ind w:right="119"/>
        <w:jc w:val="both"/>
        <w:rPr>
          <w:rFonts w:asciiTheme="minorHAnsi" w:hAnsiTheme="minorHAnsi" w:cs="Arial"/>
        </w:rPr>
      </w:pPr>
      <w:r w:rsidRPr="00A1424D">
        <w:rPr>
          <w:rFonts w:asciiTheme="minorHAnsi" w:hAnsiTheme="minorHAnsi" w:cs="Arial"/>
        </w:rPr>
        <w:t xml:space="preserve">The competitive grant program offers </w:t>
      </w:r>
      <w:r w:rsidR="000961F7" w:rsidRPr="00A1424D">
        <w:rPr>
          <w:rFonts w:asciiTheme="minorHAnsi" w:hAnsiTheme="minorHAnsi" w:cs="Arial"/>
        </w:rPr>
        <w:t>funding</w:t>
      </w:r>
      <w:r w:rsidRPr="00A1424D">
        <w:rPr>
          <w:rFonts w:asciiTheme="minorHAnsi" w:hAnsiTheme="minorHAnsi" w:cs="Arial"/>
        </w:rPr>
        <w:t xml:space="preserve"> support</w:t>
      </w:r>
      <w:r w:rsidR="000961F7" w:rsidRPr="00A1424D">
        <w:rPr>
          <w:rFonts w:asciiTheme="minorHAnsi" w:hAnsiTheme="minorHAnsi" w:cs="Arial"/>
        </w:rPr>
        <w:t xml:space="preserve"> to businesses, local governments and waste management companies </w:t>
      </w:r>
      <w:r w:rsidR="003C6310" w:rsidRPr="00A1424D">
        <w:rPr>
          <w:rFonts w:asciiTheme="minorHAnsi" w:hAnsiTheme="minorHAnsi" w:cs="Arial"/>
        </w:rPr>
        <w:t>for large scale projects involving significant capital expenditure on</w:t>
      </w:r>
      <w:r w:rsidR="000B1553">
        <w:rPr>
          <w:rFonts w:asciiTheme="minorHAnsi" w:hAnsiTheme="minorHAnsi" w:cs="Arial"/>
        </w:rPr>
        <w:t>;</w:t>
      </w:r>
    </w:p>
    <w:p w14:paraId="69F4B01A" w14:textId="4F9452B0" w:rsidR="000B1553" w:rsidRPr="00E44BCC" w:rsidRDefault="000961F7" w:rsidP="001474E9">
      <w:pPr>
        <w:pStyle w:val="ListParagraph"/>
        <w:numPr>
          <w:ilvl w:val="0"/>
          <w:numId w:val="35"/>
        </w:numPr>
        <w:tabs>
          <w:tab w:val="left" w:pos="567"/>
          <w:tab w:val="left" w:pos="1134"/>
        </w:tabs>
        <w:spacing w:after="0"/>
        <w:ind w:left="567" w:right="119" w:hanging="283"/>
        <w:jc w:val="both"/>
        <w:rPr>
          <w:rFonts w:asciiTheme="minorHAnsi" w:hAnsiTheme="minorHAnsi" w:cs="Arial"/>
        </w:rPr>
      </w:pPr>
      <w:r w:rsidRPr="00E44BCC">
        <w:rPr>
          <w:rFonts w:asciiTheme="minorHAnsi" w:hAnsiTheme="minorHAnsi" w:cs="Arial"/>
        </w:rPr>
        <w:t>equipment</w:t>
      </w:r>
      <w:r w:rsidR="000B1553" w:rsidRPr="00E44BCC">
        <w:rPr>
          <w:rFonts w:asciiTheme="minorHAnsi" w:hAnsiTheme="minorHAnsi" w:cs="Arial"/>
        </w:rPr>
        <w:t xml:space="preserve"> </w:t>
      </w:r>
    </w:p>
    <w:p w14:paraId="6B14CE27" w14:textId="77777777" w:rsidR="000B1553" w:rsidRPr="00E44BCC" w:rsidRDefault="000B1553" w:rsidP="001474E9">
      <w:pPr>
        <w:pStyle w:val="ListParagraph"/>
        <w:numPr>
          <w:ilvl w:val="0"/>
          <w:numId w:val="35"/>
        </w:numPr>
        <w:tabs>
          <w:tab w:val="left" w:pos="567"/>
          <w:tab w:val="left" w:pos="1134"/>
        </w:tabs>
        <w:spacing w:after="0"/>
        <w:ind w:left="567" w:right="119" w:hanging="283"/>
        <w:jc w:val="both"/>
        <w:rPr>
          <w:rFonts w:asciiTheme="minorHAnsi" w:hAnsiTheme="minorHAnsi" w:cs="Arial"/>
        </w:rPr>
      </w:pPr>
      <w:r w:rsidRPr="00E44BCC">
        <w:rPr>
          <w:rFonts w:asciiTheme="minorHAnsi" w:hAnsiTheme="minorHAnsi" w:cs="Arial"/>
        </w:rPr>
        <w:t>t</w:t>
      </w:r>
      <w:r w:rsidR="000961F7" w:rsidRPr="00E44BCC">
        <w:rPr>
          <w:rFonts w:asciiTheme="minorHAnsi" w:hAnsiTheme="minorHAnsi" w:cs="Arial"/>
        </w:rPr>
        <w:t>echnology</w:t>
      </w:r>
    </w:p>
    <w:p w14:paraId="18359FE9" w14:textId="77777777" w:rsidR="00BC4D57" w:rsidRPr="00E44BCC" w:rsidRDefault="000961F7" w:rsidP="00E44BCC">
      <w:pPr>
        <w:pStyle w:val="ListParagraph"/>
        <w:numPr>
          <w:ilvl w:val="0"/>
          <w:numId w:val="35"/>
        </w:numPr>
        <w:tabs>
          <w:tab w:val="left" w:pos="567"/>
          <w:tab w:val="left" w:pos="1134"/>
        </w:tabs>
        <w:spacing w:after="0"/>
        <w:ind w:left="567" w:right="119" w:hanging="283"/>
        <w:jc w:val="both"/>
        <w:rPr>
          <w:rFonts w:asciiTheme="minorHAnsi" w:hAnsiTheme="minorHAnsi" w:cs="Arial"/>
          <w:szCs w:val="24"/>
        </w:rPr>
      </w:pPr>
      <w:r w:rsidRPr="00E44BCC">
        <w:rPr>
          <w:rFonts w:asciiTheme="minorHAnsi" w:hAnsiTheme="minorHAnsi" w:cs="Arial"/>
        </w:rPr>
        <w:t xml:space="preserve">processes </w:t>
      </w:r>
      <w:r w:rsidR="00BC4D57" w:rsidRPr="00E44BCC">
        <w:rPr>
          <w:rFonts w:asciiTheme="minorHAnsi" w:hAnsiTheme="minorHAnsi" w:cs="Arial"/>
        </w:rPr>
        <w:t>to divert recyclable waste materials from landfill</w:t>
      </w:r>
      <w:r w:rsidR="002900F3" w:rsidRPr="0055416A">
        <w:rPr>
          <w:rFonts w:asciiTheme="minorHAnsi" w:hAnsiTheme="minorHAnsi" w:cs="Arial"/>
        </w:rPr>
        <w:t xml:space="preserve"> for </w:t>
      </w:r>
      <w:r w:rsidR="00BC4D57" w:rsidRPr="00E44BCC">
        <w:rPr>
          <w:rFonts w:asciiTheme="minorHAnsi" w:hAnsiTheme="minorHAnsi" w:cs="Arial"/>
        </w:rPr>
        <w:t>re-use, recycling or remanufacturing</w:t>
      </w:r>
      <w:r w:rsidR="002900F3">
        <w:rPr>
          <w:rFonts w:asciiTheme="minorHAnsi" w:hAnsiTheme="minorHAnsi" w:cs="Arial"/>
        </w:rPr>
        <w:t xml:space="preserve"> </w:t>
      </w:r>
      <w:r w:rsidR="002900F3" w:rsidRPr="00E44BCC">
        <w:rPr>
          <w:rFonts w:asciiTheme="minorHAnsi" w:hAnsiTheme="minorHAnsi" w:cs="Arial"/>
        </w:rPr>
        <w:t xml:space="preserve">to </w:t>
      </w:r>
      <w:r w:rsidR="00BC4D57" w:rsidRPr="00E44BCC">
        <w:rPr>
          <w:rFonts w:asciiTheme="minorHAnsi" w:hAnsiTheme="minorHAnsi" w:cs="Arial"/>
        </w:rPr>
        <w:t xml:space="preserve">convert them into high-value products. </w:t>
      </w:r>
    </w:p>
    <w:p w14:paraId="5C447D4B" w14:textId="77777777" w:rsidR="00E34E97" w:rsidRDefault="00A36536" w:rsidP="00BC4D57">
      <w:pPr>
        <w:pStyle w:val="Heading1"/>
        <w:spacing w:after="120"/>
        <w:rPr>
          <w:lang w:eastAsia="en-AU"/>
        </w:rPr>
      </w:pPr>
      <w:bookmarkStart w:id="4" w:name="_Toc146102965"/>
      <w:r>
        <w:rPr>
          <w:lang w:eastAsia="en-AU"/>
        </w:rPr>
        <w:t xml:space="preserve">2. </w:t>
      </w:r>
      <w:r>
        <w:rPr>
          <w:lang w:eastAsia="en-AU"/>
        </w:rPr>
        <w:tab/>
      </w:r>
      <w:r w:rsidR="00E34E97">
        <w:rPr>
          <w:lang w:eastAsia="en-AU"/>
        </w:rPr>
        <w:t>Background</w:t>
      </w:r>
      <w:bookmarkEnd w:id="4"/>
    </w:p>
    <w:p w14:paraId="4A87834F" w14:textId="77777777" w:rsidR="00BB6236" w:rsidRPr="00A1424D" w:rsidRDefault="00BB6236" w:rsidP="00A1424D">
      <w:pPr>
        <w:tabs>
          <w:tab w:val="left" w:pos="567"/>
          <w:tab w:val="left" w:pos="1134"/>
        </w:tabs>
        <w:spacing w:after="0"/>
        <w:ind w:right="119"/>
        <w:jc w:val="both"/>
      </w:pPr>
      <w:r w:rsidRPr="00A1424D">
        <w:t xml:space="preserve">In 2018, all Australian </w:t>
      </w:r>
      <w:r w:rsidR="00430BCA">
        <w:t>S</w:t>
      </w:r>
      <w:r w:rsidRPr="00A1424D">
        <w:t xml:space="preserve">tates and </w:t>
      </w:r>
      <w:r w:rsidR="00430BCA">
        <w:t>T</w:t>
      </w:r>
      <w:r w:rsidRPr="00A1424D">
        <w:t xml:space="preserve">erritories developed the National Waste Policy based on circular economy principles to reduce waste, increase the use of waste as a resource, and minimise impact on the environment. </w:t>
      </w:r>
      <w:r w:rsidR="0009751B">
        <w:t>This included a target of increasing the national recycling rate to 80%.</w:t>
      </w:r>
    </w:p>
    <w:p w14:paraId="4BC5381A" w14:textId="77777777" w:rsidR="00D46997" w:rsidRPr="00A1424D" w:rsidRDefault="00D46997" w:rsidP="00A1424D">
      <w:pPr>
        <w:tabs>
          <w:tab w:val="left" w:pos="567"/>
          <w:tab w:val="left" w:pos="1134"/>
        </w:tabs>
        <w:spacing w:after="0"/>
        <w:ind w:right="119"/>
        <w:jc w:val="both"/>
      </w:pPr>
    </w:p>
    <w:p w14:paraId="68062572" w14:textId="77777777" w:rsidR="00D46997" w:rsidRPr="00A1424D" w:rsidRDefault="00D46997" w:rsidP="00A1424D">
      <w:pPr>
        <w:tabs>
          <w:tab w:val="left" w:pos="567"/>
          <w:tab w:val="left" w:pos="1134"/>
        </w:tabs>
        <w:spacing w:after="0"/>
        <w:ind w:right="119"/>
        <w:jc w:val="both"/>
      </w:pPr>
      <w:r w:rsidRPr="00A1424D">
        <w:t xml:space="preserve">To meet </w:t>
      </w:r>
      <w:r w:rsidR="003A51DB">
        <w:t>the</w:t>
      </w:r>
      <w:r w:rsidR="00726A8C">
        <w:t xml:space="preserve"> </w:t>
      </w:r>
      <w:r w:rsidRPr="00A1424D">
        <w:t xml:space="preserve">Territory’s responsibilities under the National Waste Policy, NT Circular Economy Strategy 2022-27 </w:t>
      </w:r>
      <w:r w:rsidR="009700BB">
        <w:t xml:space="preserve">was launched in April 2022 </w:t>
      </w:r>
      <w:r w:rsidRPr="00A1424D">
        <w:t xml:space="preserve">wherein the </w:t>
      </w:r>
      <w:r w:rsidR="002900F3">
        <w:t xml:space="preserve">Territory </w:t>
      </w:r>
      <w:r w:rsidRPr="00A1424D">
        <w:t>Government committed to work in partnership with industry, local government and communities to address existing waste challenges and realise new economic opportunities.</w:t>
      </w:r>
    </w:p>
    <w:p w14:paraId="4ED764C0" w14:textId="77777777" w:rsidR="00D46997" w:rsidRPr="00A1424D" w:rsidRDefault="00D46997" w:rsidP="00A1424D">
      <w:pPr>
        <w:tabs>
          <w:tab w:val="left" w:pos="567"/>
          <w:tab w:val="left" w:pos="1134"/>
        </w:tabs>
        <w:spacing w:after="0"/>
        <w:ind w:right="119"/>
        <w:jc w:val="both"/>
      </w:pPr>
    </w:p>
    <w:p w14:paraId="3840E787" w14:textId="77777777" w:rsidR="003E0B28" w:rsidRDefault="003E0B28" w:rsidP="00A1424D">
      <w:pPr>
        <w:tabs>
          <w:tab w:val="left" w:pos="567"/>
          <w:tab w:val="left" w:pos="1134"/>
        </w:tabs>
        <w:spacing w:after="0"/>
        <w:ind w:right="119"/>
        <w:jc w:val="both"/>
      </w:pPr>
      <w:r w:rsidRPr="00A1424D">
        <w:t xml:space="preserve">Waste generated in the Territory is largely comprised of construction and demolition (C&amp;D) waste (32%), commercial and industrial (C&amp;I) waste (30%) and municipal solid waste (MSW) (38%). </w:t>
      </w:r>
    </w:p>
    <w:p w14:paraId="2CFEEE5A" w14:textId="77777777" w:rsidR="002900F3" w:rsidRPr="00A1424D" w:rsidRDefault="002900F3" w:rsidP="00A1424D">
      <w:pPr>
        <w:tabs>
          <w:tab w:val="left" w:pos="567"/>
          <w:tab w:val="left" w:pos="1134"/>
        </w:tabs>
        <w:spacing w:after="0"/>
        <w:ind w:right="119"/>
        <w:jc w:val="both"/>
      </w:pPr>
    </w:p>
    <w:p w14:paraId="4B0AB109" w14:textId="1DB80803" w:rsidR="003E0B28" w:rsidRPr="00A1424D" w:rsidRDefault="00BB6236" w:rsidP="00A1424D">
      <w:pPr>
        <w:tabs>
          <w:tab w:val="left" w:pos="567"/>
          <w:tab w:val="left" w:pos="1134"/>
        </w:tabs>
        <w:spacing w:after="0"/>
        <w:ind w:right="119"/>
        <w:jc w:val="both"/>
      </w:pPr>
      <w:r w:rsidRPr="00B27CF6">
        <w:t xml:space="preserve">The Territory’s waste recycling rate is </w:t>
      </w:r>
      <w:r w:rsidR="0009751B">
        <w:t xml:space="preserve">relatively </w:t>
      </w:r>
      <w:r w:rsidRPr="00B27CF6">
        <w:t>low (19%) compared to national recycling rate (63%) and well below the 80% target</w:t>
      </w:r>
      <w:r w:rsidR="00C04345" w:rsidRPr="00B27CF6">
        <w:t>.</w:t>
      </w:r>
      <w:r w:rsidR="009700BB" w:rsidRPr="00B27CF6">
        <w:t xml:space="preserve"> </w:t>
      </w:r>
      <w:r w:rsidR="0009751B">
        <w:t>Limited</w:t>
      </w:r>
      <w:r w:rsidR="0009751B" w:rsidRPr="00B27CF6">
        <w:t xml:space="preserve"> </w:t>
      </w:r>
      <w:r w:rsidR="003E0B28" w:rsidRPr="00B27CF6">
        <w:t xml:space="preserve">waste management facilities and lack of </w:t>
      </w:r>
      <w:r w:rsidR="0009751B">
        <w:t xml:space="preserve">commercial </w:t>
      </w:r>
      <w:r w:rsidR="003E0B28" w:rsidRPr="00B27CF6">
        <w:t>incentives</w:t>
      </w:r>
      <w:r w:rsidR="002C663F" w:rsidRPr="00B27CF6">
        <w:t xml:space="preserve"> to recycle or recover materials</w:t>
      </w:r>
      <w:r w:rsidR="003E0B28" w:rsidRPr="00B27CF6">
        <w:t xml:space="preserve"> </w:t>
      </w:r>
      <w:r w:rsidR="0009751B">
        <w:t xml:space="preserve">are </w:t>
      </w:r>
      <w:r w:rsidR="003E0B28" w:rsidRPr="00B27CF6">
        <w:t xml:space="preserve">considered </w:t>
      </w:r>
      <w:r w:rsidR="0009751B">
        <w:t xml:space="preserve">as </w:t>
      </w:r>
      <w:r w:rsidR="003E0B28" w:rsidRPr="00B27CF6">
        <w:t>key reasons for low waste recycling in NT.</w:t>
      </w:r>
      <w:r w:rsidR="003E0B28" w:rsidRPr="00A1424D">
        <w:t xml:space="preserve"> </w:t>
      </w:r>
    </w:p>
    <w:p w14:paraId="743684E7" w14:textId="77777777" w:rsidR="002C663F" w:rsidRPr="00A1424D" w:rsidRDefault="002C663F" w:rsidP="00A1424D">
      <w:pPr>
        <w:tabs>
          <w:tab w:val="left" w:pos="567"/>
          <w:tab w:val="left" w:pos="1134"/>
        </w:tabs>
        <w:spacing w:after="0"/>
        <w:ind w:right="119"/>
        <w:jc w:val="both"/>
      </w:pPr>
    </w:p>
    <w:p w14:paraId="6A957B91" w14:textId="77777777" w:rsidR="002740ED" w:rsidRPr="00A1424D" w:rsidRDefault="003E0B28" w:rsidP="00E44BCC">
      <w:pPr>
        <w:tabs>
          <w:tab w:val="left" w:pos="567"/>
          <w:tab w:val="left" w:pos="1134"/>
        </w:tabs>
        <w:spacing w:after="0"/>
        <w:ind w:right="119"/>
        <w:jc w:val="both"/>
      </w:pPr>
      <w:r w:rsidRPr="00A1424D">
        <w:t>The grant program aims to address these challenges by providing f</w:t>
      </w:r>
      <w:r w:rsidR="00D268EE" w:rsidRPr="00A1424D">
        <w:t>unding</w:t>
      </w:r>
      <w:r w:rsidRPr="00A1424D">
        <w:t xml:space="preserve"> support to </w:t>
      </w:r>
      <w:r w:rsidR="00D268EE" w:rsidRPr="00A1424D">
        <w:t>projects that</w:t>
      </w:r>
      <w:r w:rsidR="00285FBF" w:rsidRPr="00A1424D">
        <w:t xml:space="preserve"> create or</w:t>
      </w:r>
      <w:r w:rsidR="00D268EE" w:rsidRPr="00A1424D">
        <w:t xml:space="preserve"> improve</w:t>
      </w:r>
      <w:r w:rsidR="00757AD6">
        <w:t xml:space="preserve"> </w:t>
      </w:r>
      <w:r w:rsidR="00AE20E5" w:rsidRPr="00757AD6">
        <w:t>reuse</w:t>
      </w:r>
      <w:r w:rsidR="00FC26C2" w:rsidRPr="00757AD6">
        <w:t xml:space="preserve">, </w:t>
      </w:r>
      <w:r w:rsidR="00D268EE" w:rsidRPr="00757AD6">
        <w:t xml:space="preserve">recycling </w:t>
      </w:r>
      <w:r w:rsidR="00D268EE" w:rsidRPr="00A1424D">
        <w:t>or remanufacturing of</w:t>
      </w:r>
      <w:r w:rsidR="002740ED" w:rsidRPr="00A1424D">
        <w:t xml:space="preserve"> one or more </w:t>
      </w:r>
      <w:r w:rsidR="00F831A4" w:rsidRPr="00A1424D">
        <w:t xml:space="preserve">waste streams </w:t>
      </w:r>
      <w:r w:rsidR="00AC4C90" w:rsidRPr="00A1424D">
        <w:t>generated in the Territory</w:t>
      </w:r>
      <w:r w:rsidR="00FA0617">
        <w:t>.</w:t>
      </w:r>
    </w:p>
    <w:p w14:paraId="03B24804" w14:textId="77777777" w:rsidR="00A1424D" w:rsidRPr="00A1424D" w:rsidRDefault="00A1424D" w:rsidP="00A1424D">
      <w:pPr>
        <w:tabs>
          <w:tab w:val="left" w:pos="567"/>
          <w:tab w:val="left" w:pos="1134"/>
        </w:tabs>
        <w:spacing w:after="0"/>
        <w:ind w:right="119"/>
        <w:jc w:val="both"/>
        <w:rPr>
          <w:color w:val="FF0000"/>
        </w:rPr>
      </w:pPr>
    </w:p>
    <w:p w14:paraId="698168DD" w14:textId="77777777" w:rsidR="00256359" w:rsidRPr="00A1424D" w:rsidRDefault="00F831A4" w:rsidP="00A1424D">
      <w:pPr>
        <w:spacing w:after="0"/>
        <w:rPr>
          <w:rFonts w:eastAsia="Times New Roman"/>
          <w:lang w:eastAsia="en-AU"/>
        </w:rPr>
      </w:pPr>
      <w:r w:rsidRPr="00A1424D">
        <w:t>T</w:t>
      </w:r>
      <w:r w:rsidR="00256359" w:rsidRPr="00A1424D">
        <w:t xml:space="preserve">he </w:t>
      </w:r>
      <w:r w:rsidR="00AC4C90" w:rsidRPr="00A1424D">
        <w:t>Department of Industry, Tourism and Trade</w:t>
      </w:r>
      <w:r w:rsidR="00FA0617">
        <w:t xml:space="preserve"> (‘DITT’)</w:t>
      </w:r>
      <w:r w:rsidR="00AC4C90" w:rsidRPr="00A1424D">
        <w:t xml:space="preserve"> is responsible to</w:t>
      </w:r>
      <w:r w:rsidR="00256359" w:rsidRPr="00A1424D">
        <w:t xml:space="preserve"> administer the </w:t>
      </w:r>
      <w:r w:rsidR="00A71D58" w:rsidRPr="00B27CF6">
        <w:rPr>
          <w:rFonts w:asciiTheme="minorHAnsi" w:hAnsiTheme="minorHAnsi" w:cs="Arial"/>
          <w:b/>
          <w:szCs w:val="24"/>
        </w:rPr>
        <w:t xml:space="preserve">Circular </w:t>
      </w:r>
      <w:r w:rsidR="00A95E7C" w:rsidRPr="00B27CF6">
        <w:rPr>
          <w:rFonts w:asciiTheme="minorHAnsi" w:hAnsiTheme="minorHAnsi" w:cs="Arial"/>
          <w:b/>
          <w:szCs w:val="24"/>
        </w:rPr>
        <w:t xml:space="preserve">Economy NT </w:t>
      </w:r>
      <w:r w:rsidR="00A71D58" w:rsidRPr="00B27CF6">
        <w:rPr>
          <w:rFonts w:asciiTheme="minorHAnsi" w:hAnsiTheme="minorHAnsi" w:cs="Arial"/>
          <w:b/>
          <w:szCs w:val="24"/>
        </w:rPr>
        <w:t>(CENT)</w:t>
      </w:r>
      <w:r w:rsidR="00A95E7C" w:rsidRPr="00B27CF6">
        <w:rPr>
          <w:rFonts w:asciiTheme="minorHAnsi" w:hAnsiTheme="minorHAnsi" w:cs="Arial"/>
          <w:b/>
          <w:szCs w:val="24"/>
        </w:rPr>
        <w:t xml:space="preserve"> </w:t>
      </w:r>
      <w:r w:rsidR="00A95E7C" w:rsidRPr="00B27CF6">
        <w:rPr>
          <w:rFonts w:asciiTheme="minorHAnsi" w:hAnsiTheme="minorHAnsi" w:cs="Arial"/>
          <w:szCs w:val="24"/>
        </w:rPr>
        <w:t>grant program</w:t>
      </w:r>
      <w:r w:rsidR="00256359" w:rsidRPr="00B27CF6">
        <w:t>.</w:t>
      </w:r>
    </w:p>
    <w:p w14:paraId="24A0D4F5" w14:textId="77777777" w:rsidR="00AC4C90" w:rsidRPr="00A1424D" w:rsidRDefault="00AC4C90" w:rsidP="00A1424D">
      <w:pPr>
        <w:spacing w:after="0"/>
        <w:rPr>
          <w:rFonts w:asciiTheme="minorHAnsi" w:hAnsiTheme="minorHAnsi"/>
        </w:rPr>
      </w:pPr>
      <w:r w:rsidRPr="00A1424D">
        <w:rPr>
          <w:rFonts w:asciiTheme="minorHAnsi" w:hAnsiTheme="minorHAnsi"/>
        </w:rPr>
        <w:br w:type="page"/>
      </w:r>
    </w:p>
    <w:p w14:paraId="49167958" w14:textId="77777777" w:rsidR="00F12F87" w:rsidRDefault="00A36536" w:rsidP="00780352">
      <w:pPr>
        <w:pStyle w:val="Heading1"/>
        <w:spacing w:before="360"/>
        <w:rPr>
          <w:lang w:eastAsia="en-AU"/>
        </w:rPr>
      </w:pPr>
      <w:bookmarkStart w:id="5" w:name="_Toc146102966"/>
      <w:r>
        <w:rPr>
          <w:lang w:eastAsia="en-AU"/>
        </w:rPr>
        <w:lastRenderedPageBreak/>
        <w:t xml:space="preserve">3. </w:t>
      </w:r>
      <w:r>
        <w:rPr>
          <w:lang w:eastAsia="en-AU"/>
        </w:rPr>
        <w:tab/>
      </w:r>
      <w:r w:rsidR="00F12F87">
        <w:rPr>
          <w:lang w:eastAsia="en-AU"/>
        </w:rPr>
        <w:t xml:space="preserve">Program </w:t>
      </w:r>
      <w:r w:rsidR="004E107A">
        <w:rPr>
          <w:lang w:eastAsia="en-AU"/>
        </w:rPr>
        <w:t>objectives and outcomes</w:t>
      </w:r>
      <w:bookmarkEnd w:id="5"/>
    </w:p>
    <w:p w14:paraId="7E3A039A" w14:textId="77777777" w:rsidR="004E107A" w:rsidRPr="004E107A" w:rsidRDefault="004E107A" w:rsidP="003C6310">
      <w:pPr>
        <w:spacing w:before="120" w:after="120"/>
        <w:rPr>
          <w:rFonts w:ascii="Lato SemiBold" w:eastAsia="Times New Roman" w:hAnsi="Lato SemiBold"/>
          <w:color w:val="1F1F5F"/>
          <w:kern w:val="32"/>
          <w:sz w:val="28"/>
          <w:szCs w:val="32"/>
          <w:lang w:eastAsia="en-AU"/>
        </w:rPr>
      </w:pPr>
      <w:r w:rsidRPr="004E107A">
        <w:rPr>
          <w:rFonts w:ascii="Lato SemiBold" w:eastAsia="Times New Roman" w:hAnsi="Lato SemiBold"/>
          <w:color w:val="1F1F5F"/>
          <w:kern w:val="32"/>
          <w:sz w:val="28"/>
          <w:szCs w:val="32"/>
          <w:lang w:eastAsia="en-AU"/>
        </w:rPr>
        <w:t>Objective</w:t>
      </w:r>
    </w:p>
    <w:p w14:paraId="12A91499" w14:textId="7C7BCC4C" w:rsidR="00FA0617" w:rsidRPr="00B27CF6" w:rsidRDefault="00176500" w:rsidP="009700BB">
      <w:pPr>
        <w:spacing w:after="120"/>
        <w:rPr>
          <w:rFonts w:asciiTheme="minorHAnsi" w:hAnsiTheme="minorHAnsi"/>
          <w:szCs w:val="24"/>
        </w:rPr>
      </w:pPr>
      <w:r w:rsidRPr="009700BB">
        <w:rPr>
          <w:szCs w:val="24"/>
        </w:rPr>
        <w:t xml:space="preserve">The </w:t>
      </w:r>
      <w:r w:rsidR="00A95E7C" w:rsidRPr="00B27CF6">
        <w:rPr>
          <w:rFonts w:asciiTheme="minorHAnsi" w:hAnsiTheme="minorHAnsi" w:cs="Arial"/>
          <w:b/>
          <w:szCs w:val="24"/>
        </w:rPr>
        <w:t xml:space="preserve">Circular Economy NT (CENT) </w:t>
      </w:r>
      <w:r w:rsidR="0009751B" w:rsidRPr="001474E9">
        <w:rPr>
          <w:rFonts w:asciiTheme="minorHAnsi" w:hAnsiTheme="minorHAnsi" w:cs="Arial"/>
          <w:szCs w:val="24"/>
        </w:rPr>
        <w:t>program</w:t>
      </w:r>
      <w:r w:rsidR="0009751B">
        <w:rPr>
          <w:rFonts w:asciiTheme="minorHAnsi" w:hAnsiTheme="minorHAnsi" w:cs="Arial"/>
          <w:b/>
          <w:szCs w:val="24"/>
        </w:rPr>
        <w:t xml:space="preserve"> </w:t>
      </w:r>
      <w:r w:rsidR="00BC4D57" w:rsidRPr="00B27CF6">
        <w:rPr>
          <w:szCs w:val="24"/>
        </w:rPr>
        <w:t xml:space="preserve">aims </w:t>
      </w:r>
      <w:r w:rsidRPr="00B27CF6">
        <w:rPr>
          <w:szCs w:val="24"/>
        </w:rPr>
        <w:t xml:space="preserve">to strengthen the circular economy sector in </w:t>
      </w:r>
      <w:r w:rsidR="00832582">
        <w:rPr>
          <w:szCs w:val="24"/>
        </w:rPr>
        <w:t>the Territory</w:t>
      </w:r>
      <w:r w:rsidR="00832582" w:rsidRPr="00B27CF6">
        <w:rPr>
          <w:szCs w:val="24"/>
        </w:rPr>
        <w:t xml:space="preserve"> </w:t>
      </w:r>
      <w:r w:rsidRPr="00B27CF6">
        <w:rPr>
          <w:szCs w:val="24"/>
        </w:rPr>
        <w:t xml:space="preserve">by offering funding support </w:t>
      </w:r>
      <w:r w:rsidR="0030611B">
        <w:rPr>
          <w:szCs w:val="24"/>
        </w:rPr>
        <w:t xml:space="preserve">for the development of </w:t>
      </w:r>
      <w:r w:rsidRPr="00B27CF6">
        <w:rPr>
          <w:szCs w:val="24"/>
        </w:rPr>
        <w:t>projects</w:t>
      </w:r>
      <w:r w:rsidRPr="00B27CF6">
        <w:rPr>
          <w:rFonts w:asciiTheme="minorHAnsi" w:hAnsiTheme="minorHAnsi"/>
          <w:szCs w:val="24"/>
        </w:rPr>
        <w:t xml:space="preserve"> that address critical gaps in the Territory’s waste</w:t>
      </w:r>
      <w:r w:rsidR="009700BB" w:rsidRPr="00B27CF6">
        <w:rPr>
          <w:rFonts w:asciiTheme="minorHAnsi" w:hAnsiTheme="minorHAnsi"/>
          <w:szCs w:val="24"/>
        </w:rPr>
        <w:t xml:space="preserve"> diversion,</w:t>
      </w:r>
      <w:r w:rsidRPr="00B27CF6">
        <w:rPr>
          <w:rFonts w:asciiTheme="minorHAnsi" w:hAnsiTheme="minorHAnsi"/>
          <w:szCs w:val="24"/>
        </w:rPr>
        <w:t xml:space="preserve"> recycling, reprocessing and r</w:t>
      </w:r>
      <w:r w:rsidR="00037550" w:rsidRPr="00B27CF6">
        <w:rPr>
          <w:rFonts w:asciiTheme="minorHAnsi" w:hAnsiTheme="minorHAnsi"/>
          <w:szCs w:val="24"/>
        </w:rPr>
        <w:t>emanufacturing capacity.</w:t>
      </w:r>
      <w:r w:rsidR="00F82BF0" w:rsidRPr="00B27CF6">
        <w:rPr>
          <w:rFonts w:asciiTheme="minorHAnsi" w:hAnsiTheme="minorHAnsi"/>
          <w:szCs w:val="24"/>
        </w:rPr>
        <w:t xml:space="preserve"> </w:t>
      </w:r>
    </w:p>
    <w:p w14:paraId="7B87E98D" w14:textId="77777777" w:rsidR="004E107A" w:rsidRPr="00B27CF6" w:rsidRDefault="004E107A" w:rsidP="009700BB">
      <w:pPr>
        <w:spacing w:before="240" w:after="120"/>
        <w:rPr>
          <w:rFonts w:ascii="Lato SemiBold" w:eastAsia="Times New Roman" w:hAnsi="Lato SemiBold"/>
          <w:color w:val="1F1F5F"/>
          <w:kern w:val="32"/>
          <w:sz w:val="28"/>
          <w:szCs w:val="32"/>
          <w:lang w:eastAsia="en-AU"/>
        </w:rPr>
      </w:pPr>
      <w:r w:rsidRPr="00B27CF6">
        <w:rPr>
          <w:rFonts w:ascii="Lato SemiBold" w:eastAsia="Times New Roman" w:hAnsi="Lato SemiBold"/>
          <w:color w:val="1F1F5F"/>
          <w:kern w:val="32"/>
          <w:sz w:val="28"/>
          <w:szCs w:val="32"/>
          <w:lang w:eastAsia="en-AU"/>
        </w:rPr>
        <w:t>Outcome</w:t>
      </w:r>
    </w:p>
    <w:p w14:paraId="2817BA5D" w14:textId="77777777" w:rsidR="006D6223" w:rsidRPr="009700BB" w:rsidRDefault="00F12F87" w:rsidP="009700BB">
      <w:pPr>
        <w:spacing w:after="120"/>
        <w:rPr>
          <w:color w:val="222222"/>
        </w:rPr>
      </w:pPr>
      <w:r w:rsidRPr="00B27CF6">
        <w:rPr>
          <w:color w:val="222222"/>
        </w:rPr>
        <w:t xml:space="preserve">The key outcome </w:t>
      </w:r>
      <w:r w:rsidR="0023777D" w:rsidRPr="00B27CF6">
        <w:rPr>
          <w:color w:val="222222"/>
        </w:rPr>
        <w:t xml:space="preserve">of the </w:t>
      </w:r>
      <w:r w:rsidR="00A95E7C" w:rsidRPr="00B27CF6">
        <w:rPr>
          <w:color w:val="222222"/>
        </w:rPr>
        <w:t>CENT</w:t>
      </w:r>
      <w:r w:rsidR="00776C45" w:rsidRPr="00B27CF6">
        <w:rPr>
          <w:color w:val="222222"/>
        </w:rPr>
        <w:t xml:space="preserve"> </w:t>
      </w:r>
      <w:r w:rsidR="0009751B">
        <w:rPr>
          <w:color w:val="222222"/>
        </w:rPr>
        <w:t xml:space="preserve">program </w:t>
      </w:r>
      <w:r w:rsidRPr="00B27CF6">
        <w:rPr>
          <w:color w:val="222222"/>
        </w:rPr>
        <w:t xml:space="preserve">is </w:t>
      </w:r>
      <w:r w:rsidR="005867D9" w:rsidRPr="00B27CF6">
        <w:rPr>
          <w:color w:val="222222"/>
        </w:rPr>
        <w:t xml:space="preserve">the </w:t>
      </w:r>
      <w:r w:rsidRPr="00B27CF6">
        <w:rPr>
          <w:color w:val="222222"/>
        </w:rPr>
        <w:t xml:space="preserve">acceleration of projects that </w:t>
      </w:r>
      <w:r w:rsidR="004E107A" w:rsidRPr="00B27CF6">
        <w:rPr>
          <w:color w:val="222222"/>
        </w:rPr>
        <w:t>will facilitate greater resource recovery by:</w:t>
      </w:r>
    </w:p>
    <w:p w14:paraId="31554A3E" w14:textId="3BC728B3" w:rsidR="004E107A" w:rsidRPr="009700BB" w:rsidRDefault="006B446B" w:rsidP="009700BB">
      <w:pPr>
        <w:pStyle w:val="ListParagraph"/>
        <w:numPr>
          <w:ilvl w:val="0"/>
          <w:numId w:val="18"/>
        </w:numPr>
        <w:ind w:left="426"/>
      </w:pPr>
      <w:r w:rsidRPr="009700BB">
        <w:rPr>
          <w:color w:val="222222"/>
        </w:rPr>
        <w:t>i</w:t>
      </w:r>
      <w:r w:rsidR="004E107A" w:rsidRPr="009700BB">
        <w:rPr>
          <w:color w:val="222222"/>
        </w:rPr>
        <w:t xml:space="preserve">ncreasing the capacity for domestic </w:t>
      </w:r>
      <w:r w:rsidR="003C6310" w:rsidRPr="009700BB">
        <w:rPr>
          <w:color w:val="222222"/>
        </w:rPr>
        <w:t>recycling</w:t>
      </w:r>
      <w:r w:rsidR="004E107A" w:rsidRPr="009700BB">
        <w:rPr>
          <w:color w:val="222222"/>
        </w:rPr>
        <w:t xml:space="preserve"> and manufacturing of </w:t>
      </w:r>
      <w:r w:rsidR="00037550" w:rsidRPr="009700BB">
        <w:rPr>
          <w:color w:val="222222"/>
        </w:rPr>
        <w:t xml:space="preserve">waste </w:t>
      </w:r>
      <w:r w:rsidR="004E107A" w:rsidRPr="009700BB">
        <w:rPr>
          <w:color w:val="222222"/>
        </w:rPr>
        <w:t>materials</w:t>
      </w:r>
      <w:r w:rsidR="003C6310" w:rsidRPr="001474E9">
        <w:rPr>
          <w:rFonts w:asciiTheme="minorHAnsi" w:hAnsiTheme="minorHAnsi"/>
        </w:rPr>
        <w:t>;</w:t>
      </w:r>
      <w:r w:rsidR="0036745E" w:rsidRPr="009700BB">
        <w:rPr>
          <w:rFonts w:asciiTheme="minorHAnsi" w:hAnsiTheme="minorHAnsi"/>
        </w:rPr>
        <w:t xml:space="preserve"> </w:t>
      </w:r>
    </w:p>
    <w:p w14:paraId="300DF8CD" w14:textId="77777777" w:rsidR="003C6310" w:rsidRPr="009700BB" w:rsidRDefault="003C6310" w:rsidP="009700BB">
      <w:pPr>
        <w:pStyle w:val="ListParagraph"/>
        <w:numPr>
          <w:ilvl w:val="0"/>
          <w:numId w:val="18"/>
        </w:numPr>
        <w:ind w:left="426"/>
      </w:pPr>
      <w:r w:rsidRPr="009700BB">
        <w:rPr>
          <w:color w:val="222222"/>
        </w:rPr>
        <w:t>creating offtake market</w:t>
      </w:r>
      <w:r w:rsidR="00A95E7C">
        <w:rPr>
          <w:color w:val="222222"/>
        </w:rPr>
        <w:t>s</w:t>
      </w:r>
      <w:r w:rsidRPr="009700BB">
        <w:rPr>
          <w:color w:val="222222"/>
        </w:rPr>
        <w:t xml:space="preserve"> for recycled mate</w:t>
      </w:r>
      <w:r w:rsidR="009700BB" w:rsidRPr="009700BB">
        <w:rPr>
          <w:color w:val="222222"/>
        </w:rPr>
        <w:t xml:space="preserve">rials </w:t>
      </w:r>
      <w:r w:rsidR="0009751B">
        <w:rPr>
          <w:color w:val="222222"/>
        </w:rPr>
        <w:t xml:space="preserve">- </w:t>
      </w:r>
      <w:r w:rsidR="009700BB" w:rsidRPr="009700BB">
        <w:rPr>
          <w:color w:val="222222"/>
        </w:rPr>
        <w:t>preferably in NT; and</w:t>
      </w:r>
    </w:p>
    <w:p w14:paraId="230EA6DE" w14:textId="77777777" w:rsidR="0036745E" w:rsidRPr="009700BB" w:rsidRDefault="0036745E" w:rsidP="009700BB">
      <w:pPr>
        <w:pStyle w:val="ListParagraph"/>
        <w:numPr>
          <w:ilvl w:val="0"/>
          <w:numId w:val="18"/>
        </w:numPr>
        <w:ind w:left="426"/>
      </w:pPr>
      <w:r w:rsidRPr="009700BB">
        <w:rPr>
          <w:color w:val="222222"/>
        </w:rPr>
        <w:t>increasing the supply of quality recycled materials available for re-use</w:t>
      </w:r>
      <w:r w:rsidR="009700BB" w:rsidRPr="009700BB">
        <w:rPr>
          <w:color w:val="222222"/>
        </w:rPr>
        <w:t>.</w:t>
      </w:r>
      <w:r w:rsidR="003C6310" w:rsidRPr="009700BB">
        <w:rPr>
          <w:color w:val="222222"/>
        </w:rPr>
        <w:t xml:space="preserve"> </w:t>
      </w:r>
    </w:p>
    <w:p w14:paraId="042456B0" w14:textId="77777777" w:rsidR="00DD16E6" w:rsidRPr="009700BB" w:rsidRDefault="009E11BE" w:rsidP="009700BB">
      <w:pPr>
        <w:spacing w:after="120"/>
        <w:rPr>
          <w:color w:val="222222"/>
        </w:rPr>
      </w:pPr>
      <w:r w:rsidRPr="009700BB">
        <w:rPr>
          <w:color w:val="222222"/>
        </w:rPr>
        <w:t>The objectives and outcomes will be achieved by investment in p</w:t>
      </w:r>
      <w:r w:rsidR="00F12F87" w:rsidRPr="009700BB">
        <w:rPr>
          <w:color w:val="222222"/>
        </w:rPr>
        <w:t xml:space="preserve">rojects </w:t>
      </w:r>
      <w:r w:rsidRPr="009700BB">
        <w:rPr>
          <w:color w:val="222222"/>
        </w:rPr>
        <w:t>that</w:t>
      </w:r>
      <w:r w:rsidR="00F12F87" w:rsidRPr="009700BB">
        <w:rPr>
          <w:color w:val="222222"/>
        </w:rPr>
        <w:t xml:space="preserve"> add value to waste</w:t>
      </w:r>
      <w:r w:rsidR="00F90960" w:rsidRPr="009700BB">
        <w:rPr>
          <w:color w:val="222222"/>
        </w:rPr>
        <w:t xml:space="preserve"> materials and retain</w:t>
      </w:r>
      <w:r w:rsidR="0034243B" w:rsidRPr="009700BB">
        <w:rPr>
          <w:color w:val="222222"/>
        </w:rPr>
        <w:t xml:space="preserve"> </w:t>
      </w:r>
      <w:r w:rsidR="00F90960" w:rsidRPr="009700BB">
        <w:rPr>
          <w:color w:val="222222"/>
        </w:rPr>
        <w:t>them as resources</w:t>
      </w:r>
      <w:r w:rsidR="0009751B">
        <w:rPr>
          <w:color w:val="222222"/>
        </w:rPr>
        <w:t>,</w:t>
      </w:r>
      <w:r w:rsidR="00F90960" w:rsidRPr="009700BB">
        <w:rPr>
          <w:color w:val="222222"/>
        </w:rPr>
        <w:t xml:space="preserve"> where possible within local economies.</w:t>
      </w:r>
      <w:r w:rsidR="00DD16E6" w:rsidRPr="009700BB">
        <w:rPr>
          <w:color w:val="222222"/>
        </w:rPr>
        <w:t xml:space="preserve"> </w:t>
      </w:r>
      <w:r w:rsidR="002819A7" w:rsidRPr="009700BB">
        <w:rPr>
          <w:color w:val="222222"/>
        </w:rPr>
        <w:t xml:space="preserve">The projects </w:t>
      </w:r>
      <w:r w:rsidR="005867D9" w:rsidRPr="009700BB">
        <w:rPr>
          <w:color w:val="222222"/>
        </w:rPr>
        <w:t>will also</w:t>
      </w:r>
      <w:r w:rsidR="002819A7" w:rsidRPr="009700BB">
        <w:rPr>
          <w:color w:val="222222"/>
        </w:rPr>
        <w:t xml:space="preserve"> support</w:t>
      </w:r>
      <w:r w:rsidR="00905DD7" w:rsidRPr="009700BB">
        <w:rPr>
          <w:color w:val="222222"/>
        </w:rPr>
        <w:t xml:space="preserve"> sustainable job creation</w:t>
      </w:r>
      <w:r w:rsidR="002819A7" w:rsidRPr="009700BB">
        <w:rPr>
          <w:color w:val="222222"/>
        </w:rPr>
        <w:t xml:space="preserve">, </w:t>
      </w:r>
      <w:r w:rsidR="00905DD7" w:rsidRPr="009700BB">
        <w:rPr>
          <w:color w:val="222222"/>
        </w:rPr>
        <w:t>business growth</w:t>
      </w:r>
      <w:r w:rsidR="002819A7" w:rsidRPr="009700BB">
        <w:rPr>
          <w:color w:val="222222"/>
        </w:rPr>
        <w:t xml:space="preserve"> and industry development, particularly </w:t>
      </w:r>
      <w:r w:rsidR="00905DD7" w:rsidRPr="009700BB">
        <w:rPr>
          <w:color w:val="222222"/>
        </w:rPr>
        <w:t xml:space="preserve">in </w:t>
      </w:r>
      <w:r w:rsidR="00D9217A" w:rsidRPr="009700BB">
        <w:rPr>
          <w:color w:val="222222"/>
        </w:rPr>
        <w:t xml:space="preserve">the </w:t>
      </w:r>
      <w:r w:rsidR="00905DD7" w:rsidRPr="009700BB">
        <w:rPr>
          <w:color w:val="222222"/>
        </w:rPr>
        <w:t>regional and remote</w:t>
      </w:r>
      <w:r w:rsidR="002819A7" w:rsidRPr="009700BB">
        <w:rPr>
          <w:color w:val="222222"/>
        </w:rPr>
        <w:t xml:space="preserve"> areas</w:t>
      </w:r>
      <w:r w:rsidR="00905DD7" w:rsidRPr="009700BB">
        <w:rPr>
          <w:color w:val="222222"/>
        </w:rPr>
        <w:t>.</w:t>
      </w:r>
    </w:p>
    <w:p w14:paraId="011E4EB8" w14:textId="77777777" w:rsidR="00F12F87" w:rsidRPr="009700BB" w:rsidRDefault="00F12F87" w:rsidP="009700BB">
      <w:pPr>
        <w:spacing w:after="120"/>
        <w:rPr>
          <w:color w:val="222222"/>
        </w:rPr>
      </w:pPr>
      <w:r w:rsidRPr="00B27CF6">
        <w:rPr>
          <w:color w:val="222222"/>
        </w:rPr>
        <w:t xml:space="preserve">The </w:t>
      </w:r>
      <w:r w:rsidR="00A95E7C" w:rsidRPr="00B27CF6">
        <w:rPr>
          <w:color w:val="222222"/>
        </w:rPr>
        <w:t>CENT</w:t>
      </w:r>
      <w:r w:rsidR="00256359" w:rsidRPr="00B27CF6">
        <w:rPr>
          <w:color w:val="222222"/>
        </w:rPr>
        <w:t xml:space="preserve"> </w:t>
      </w:r>
      <w:r w:rsidR="0009751B">
        <w:rPr>
          <w:color w:val="222222"/>
        </w:rPr>
        <w:t xml:space="preserve">program </w:t>
      </w:r>
      <w:r w:rsidRPr="00B27CF6">
        <w:rPr>
          <w:color w:val="222222"/>
        </w:rPr>
        <w:t>is focused on:</w:t>
      </w:r>
      <w:r w:rsidRPr="009700BB">
        <w:rPr>
          <w:color w:val="222222"/>
        </w:rPr>
        <w:t xml:space="preserve"> </w:t>
      </w:r>
    </w:p>
    <w:p w14:paraId="02BEA5D7" w14:textId="77777777" w:rsidR="007C2BEC" w:rsidRPr="009700BB" w:rsidRDefault="00F12F87" w:rsidP="00F64C69">
      <w:pPr>
        <w:pStyle w:val="ListParagraph"/>
        <w:numPr>
          <w:ilvl w:val="0"/>
          <w:numId w:val="38"/>
        </w:numPr>
        <w:ind w:left="426" w:hanging="284"/>
        <w:rPr>
          <w:color w:val="222222"/>
        </w:rPr>
      </w:pPr>
      <w:r w:rsidRPr="009700BB">
        <w:rPr>
          <w:color w:val="222222"/>
        </w:rPr>
        <w:t xml:space="preserve">attracting private sector investment in new infrastructure to address </w:t>
      </w:r>
      <w:r w:rsidR="00231AED" w:rsidRPr="009700BB">
        <w:rPr>
          <w:color w:val="222222"/>
        </w:rPr>
        <w:t xml:space="preserve">waste streams generated in the Territory including but not limited to </w:t>
      </w:r>
      <w:r w:rsidR="00D329F4">
        <w:rPr>
          <w:color w:val="222222"/>
        </w:rPr>
        <w:t xml:space="preserve">the </w:t>
      </w:r>
      <w:r w:rsidR="004D70E2" w:rsidRPr="009700BB">
        <w:rPr>
          <w:color w:val="222222"/>
        </w:rPr>
        <w:t>following</w:t>
      </w:r>
      <w:r w:rsidR="0049561B" w:rsidRPr="009700BB">
        <w:rPr>
          <w:color w:val="222222"/>
        </w:rPr>
        <w:t xml:space="preserve"> waste </w:t>
      </w:r>
      <w:r w:rsidRPr="009700BB">
        <w:rPr>
          <w:color w:val="222222"/>
        </w:rPr>
        <w:t xml:space="preserve">streams: </w:t>
      </w:r>
    </w:p>
    <w:p w14:paraId="66ECD709" w14:textId="77777777" w:rsidR="007C2BEC" w:rsidRPr="009700BB" w:rsidRDefault="00231AED" w:rsidP="009700BB">
      <w:pPr>
        <w:pStyle w:val="ListParagraph"/>
        <w:numPr>
          <w:ilvl w:val="0"/>
          <w:numId w:val="21"/>
        </w:numPr>
        <w:ind w:hanging="436"/>
        <w:rPr>
          <w:b/>
          <w:color w:val="222222"/>
        </w:rPr>
      </w:pPr>
      <w:r w:rsidRPr="009700BB">
        <w:rPr>
          <w:b/>
          <w:color w:val="222222"/>
        </w:rPr>
        <w:t>construction and demolition (C&amp;D)</w:t>
      </w:r>
    </w:p>
    <w:p w14:paraId="270266DF" w14:textId="77777777" w:rsidR="007C2BEC" w:rsidRPr="009700BB" w:rsidRDefault="00231AED" w:rsidP="009700BB">
      <w:pPr>
        <w:pStyle w:val="ListParagraph"/>
        <w:numPr>
          <w:ilvl w:val="0"/>
          <w:numId w:val="21"/>
        </w:numPr>
        <w:ind w:hanging="436"/>
        <w:rPr>
          <w:b/>
          <w:color w:val="222222"/>
        </w:rPr>
      </w:pPr>
      <w:r w:rsidRPr="009700BB">
        <w:rPr>
          <w:b/>
          <w:color w:val="222222"/>
        </w:rPr>
        <w:t>food organics and garden organics (FOGO)</w:t>
      </w:r>
    </w:p>
    <w:p w14:paraId="22314823" w14:textId="77777777" w:rsidR="007C2BEC" w:rsidRPr="009700BB" w:rsidRDefault="00231AED" w:rsidP="009700BB">
      <w:pPr>
        <w:pStyle w:val="ListParagraph"/>
        <w:numPr>
          <w:ilvl w:val="0"/>
          <w:numId w:val="21"/>
        </w:numPr>
        <w:ind w:hanging="436"/>
        <w:rPr>
          <w:b/>
          <w:color w:val="222222"/>
        </w:rPr>
      </w:pPr>
      <w:r w:rsidRPr="009700BB">
        <w:rPr>
          <w:b/>
          <w:color w:val="222222"/>
        </w:rPr>
        <w:t>commercial and industrial (C&amp;I)</w:t>
      </w:r>
    </w:p>
    <w:p w14:paraId="57A9395C" w14:textId="77777777" w:rsidR="00231AED" w:rsidRDefault="00231AED" w:rsidP="009700BB">
      <w:pPr>
        <w:pStyle w:val="ListParagraph"/>
        <w:numPr>
          <w:ilvl w:val="0"/>
          <w:numId w:val="21"/>
        </w:numPr>
        <w:ind w:hanging="436"/>
        <w:rPr>
          <w:b/>
          <w:color w:val="222222"/>
        </w:rPr>
      </w:pPr>
      <w:r w:rsidRPr="009700BB">
        <w:rPr>
          <w:b/>
          <w:color w:val="222222"/>
        </w:rPr>
        <w:t>electronic waste (E-waste)</w:t>
      </w:r>
      <w:r w:rsidR="00A95E7C">
        <w:rPr>
          <w:b/>
          <w:color w:val="222222"/>
        </w:rPr>
        <w:t xml:space="preserve"> including PV Solar panels</w:t>
      </w:r>
    </w:p>
    <w:p w14:paraId="120A65AD" w14:textId="77777777" w:rsidR="00FA0617" w:rsidRPr="00A1424D" w:rsidRDefault="00FA0617" w:rsidP="00FA0617">
      <w:pPr>
        <w:tabs>
          <w:tab w:val="left" w:pos="567"/>
          <w:tab w:val="left" w:pos="1134"/>
        </w:tabs>
        <w:spacing w:after="0"/>
        <w:ind w:right="119"/>
        <w:jc w:val="both"/>
      </w:pPr>
      <w:r>
        <w:t>Priority will be given to projects that target:</w:t>
      </w:r>
      <w:r w:rsidRPr="00A1424D">
        <w:t xml:space="preserve"> </w:t>
      </w:r>
    </w:p>
    <w:p w14:paraId="33EB5CDD" w14:textId="77777777" w:rsidR="00FA0617" w:rsidRPr="00A1424D" w:rsidRDefault="00FA0617" w:rsidP="00F64C69">
      <w:pPr>
        <w:pStyle w:val="ListParagraph"/>
        <w:numPr>
          <w:ilvl w:val="0"/>
          <w:numId w:val="37"/>
        </w:numPr>
        <w:ind w:left="993" w:hanging="426"/>
      </w:pPr>
      <w:r w:rsidRPr="00A1424D">
        <w:t xml:space="preserve">C&amp;D waste; </w:t>
      </w:r>
      <w:r>
        <w:t>and</w:t>
      </w:r>
    </w:p>
    <w:p w14:paraId="67565AE8" w14:textId="77777777" w:rsidR="00FA0617" w:rsidRPr="00A1424D" w:rsidRDefault="00FA0617" w:rsidP="00F64C69">
      <w:pPr>
        <w:pStyle w:val="ListParagraph"/>
        <w:numPr>
          <w:ilvl w:val="0"/>
          <w:numId w:val="37"/>
        </w:numPr>
        <w:ind w:left="993" w:hanging="426"/>
      </w:pPr>
      <w:r w:rsidRPr="00A1424D">
        <w:t>FOGO</w:t>
      </w:r>
      <w:r>
        <w:t xml:space="preserve"> waste</w:t>
      </w:r>
    </w:p>
    <w:p w14:paraId="76EA6133" w14:textId="77777777" w:rsidR="00F12F87" w:rsidRPr="009700BB" w:rsidRDefault="00F12F87" w:rsidP="00F64C69">
      <w:pPr>
        <w:pStyle w:val="ListParagraph"/>
        <w:numPr>
          <w:ilvl w:val="0"/>
          <w:numId w:val="38"/>
        </w:numPr>
        <w:ind w:left="426"/>
        <w:rPr>
          <w:color w:val="222222"/>
        </w:rPr>
      </w:pPr>
      <w:r w:rsidRPr="009700BB">
        <w:rPr>
          <w:color w:val="222222"/>
        </w:rPr>
        <w:t xml:space="preserve">improving </w:t>
      </w:r>
      <w:r w:rsidR="00CE0475" w:rsidRPr="009700BB">
        <w:rPr>
          <w:color w:val="222222"/>
        </w:rPr>
        <w:t xml:space="preserve"> </w:t>
      </w:r>
      <w:r w:rsidRPr="009700BB">
        <w:rPr>
          <w:color w:val="222222"/>
        </w:rPr>
        <w:t>recycling</w:t>
      </w:r>
      <w:r w:rsidR="00F64C69">
        <w:rPr>
          <w:color w:val="222222"/>
        </w:rPr>
        <w:t xml:space="preserve">, </w:t>
      </w:r>
      <w:r w:rsidRPr="009700BB">
        <w:rPr>
          <w:color w:val="222222"/>
        </w:rPr>
        <w:t xml:space="preserve">remanufacturing </w:t>
      </w:r>
      <w:r w:rsidR="00F64C69">
        <w:rPr>
          <w:color w:val="222222"/>
        </w:rPr>
        <w:t xml:space="preserve">and reuse </w:t>
      </w:r>
      <w:r w:rsidRPr="009700BB">
        <w:rPr>
          <w:color w:val="222222"/>
        </w:rPr>
        <w:t xml:space="preserve">of waste </w:t>
      </w:r>
    </w:p>
    <w:p w14:paraId="189FE973" w14:textId="77777777" w:rsidR="00F12F87" w:rsidRPr="00780FA2" w:rsidRDefault="00F12F87" w:rsidP="00780FA2">
      <w:pPr>
        <w:pStyle w:val="ListParagraph"/>
        <w:numPr>
          <w:ilvl w:val="0"/>
          <w:numId w:val="38"/>
        </w:numPr>
        <w:ind w:left="426"/>
        <w:rPr>
          <w:color w:val="222222"/>
        </w:rPr>
      </w:pPr>
      <w:r w:rsidRPr="00780FA2">
        <w:rPr>
          <w:color w:val="222222"/>
        </w:rPr>
        <w:t>facilitating waste avoidance, landfill diversion (including stockpile diversion / reduction)</w:t>
      </w:r>
      <w:r w:rsidR="00F90960" w:rsidRPr="00780FA2">
        <w:rPr>
          <w:color w:val="222222"/>
        </w:rPr>
        <w:t xml:space="preserve">, </w:t>
      </w:r>
      <w:r w:rsidRPr="00780FA2">
        <w:rPr>
          <w:color w:val="222222"/>
        </w:rPr>
        <w:t xml:space="preserve">recycling </w:t>
      </w:r>
      <w:r w:rsidR="00CE0475" w:rsidRPr="00780FA2">
        <w:rPr>
          <w:color w:val="222222"/>
        </w:rPr>
        <w:t xml:space="preserve">and manufacturing </w:t>
      </w:r>
      <w:r w:rsidRPr="00780FA2">
        <w:rPr>
          <w:color w:val="222222"/>
        </w:rPr>
        <w:t xml:space="preserve">activities </w:t>
      </w:r>
    </w:p>
    <w:p w14:paraId="49CBA76F" w14:textId="77777777" w:rsidR="00F12F87" w:rsidRPr="009700BB" w:rsidRDefault="00F12F87" w:rsidP="00F64C69">
      <w:pPr>
        <w:pStyle w:val="ListParagraph"/>
        <w:numPr>
          <w:ilvl w:val="0"/>
          <w:numId w:val="38"/>
        </w:numPr>
        <w:ind w:left="426"/>
        <w:rPr>
          <w:color w:val="222222"/>
        </w:rPr>
      </w:pPr>
      <w:r w:rsidRPr="009700BB">
        <w:rPr>
          <w:color w:val="222222"/>
        </w:rPr>
        <w:t>creating economic development opportunities</w:t>
      </w:r>
      <w:r w:rsidR="0022207F" w:rsidRPr="009700BB">
        <w:rPr>
          <w:color w:val="222222"/>
        </w:rPr>
        <w:t xml:space="preserve"> and </w:t>
      </w:r>
      <w:r w:rsidRPr="009700BB">
        <w:rPr>
          <w:color w:val="222222"/>
        </w:rPr>
        <w:t>job development opportunities</w:t>
      </w:r>
      <w:r w:rsidR="008B21AD" w:rsidRPr="009700BB">
        <w:rPr>
          <w:color w:val="222222"/>
        </w:rPr>
        <w:t>,</w:t>
      </w:r>
      <w:r w:rsidRPr="009700BB">
        <w:rPr>
          <w:color w:val="222222"/>
        </w:rPr>
        <w:t xml:space="preserve"> particularly in regional areas </w:t>
      </w:r>
    </w:p>
    <w:p w14:paraId="24E3322E" w14:textId="77777777" w:rsidR="00F12F87" w:rsidRPr="00780FA2" w:rsidRDefault="00F12F87" w:rsidP="00780FA2">
      <w:pPr>
        <w:pStyle w:val="ListParagraph"/>
        <w:numPr>
          <w:ilvl w:val="0"/>
          <w:numId w:val="38"/>
        </w:numPr>
        <w:ind w:left="426"/>
      </w:pPr>
      <w:r w:rsidRPr="00780FA2">
        <w:t xml:space="preserve">building a stronger onshore recycling </w:t>
      </w:r>
      <w:r w:rsidR="00CE0475" w:rsidRPr="00780FA2">
        <w:t xml:space="preserve">and manufacturing </w:t>
      </w:r>
      <w:r w:rsidRPr="00780FA2">
        <w:t xml:space="preserve">industry by developing new domestic markets for recycled materials </w:t>
      </w:r>
    </w:p>
    <w:p w14:paraId="3B08D4EB" w14:textId="77777777" w:rsidR="009700BB" w:rsidRPr="00780FA2" w:rsidRDefault="00F12F87" w:rsidP="00780FA2">
      <w:pPr>
        <w:pStyle w:val="ListParagraph"/>
        <w:numPr>
          <w:ilvl w:val="0"/>
          <w:numId w:val="38"/>
        </w:numPr>
        <w:ind w:left="426"/>
        <w:rPr>
          <w:color w:val="222222"/>
        </w:rPr>
      </w:pPr>
      <w:r w:rsidRPr="00780FA2">
        <w:rPr>
          <w:color w:val="222222"/>
        </w:rPr>
        <w:t xml:space="preserve">addressing </w:t>
      </w:r>
      <w:r w:rsidR="00144CF9" w:rsidRPr="00780FA2">
        <w:rPr>
          <w:color w:val="222222"/>
        </w:rPr>
        <w:t xml:space="preserve">the </w:t>
      </w:r>
      <w:r w:rsidR="00256359" w:rsidRPr="00780FA2">
        <w:rPr>
          <w:color w:val="222222"/>
        </w:rPr>
        <w:t xml:space="preserve">Northern Territory’s </w:t>
      </w:r>
      <w:r w:rsidRPr="00780FA2">
        <w:rPr>
          <w:color w:val="222222"/>
        </w:rPr>
        <w:t xml:space="preserve">regional and remote waste challenges where possible. </w:t>
      </w:r>
    </w:p>
    <w:p w14:paraId="5CDD1CC7" w14:textId="77777777" w:rsidR="0009751B" w:rsidRDefault="0009751B">
      <w:pPr>
        <w:rPr>
          <w:rFonts w:ascii="Lato SemiBold" w:eastAsia="Times New Roman" w:hAnsi="Lato SemiBold"/>
          <w:color w:val="1F1F5F"/>
          <w:kern w:val="32"/>
          <w:sz w:val="36"/>
          <w:szCs w:val="32"/>
          <w:lang w:eastAsia="en-AU"/>
        </w:rPr>
      </w:pPr>
      <w:bookmarkStart w:id="6" w:name="_Toc146102967"/>
      <w:r>
        <w:rPr>
          <w:lang w:eastAsia="en-AU"/>
        </w:rPr>
        <w:br w:type="page"/>
      </w:r>
    </w:p>
    <w:p w14:paraId="29A5DD3B" w14:textId="77777777" w:rsidR="008B21AD" w:rsidRPr="009E11BE" w:rsidRDefault="008B21AD" w:rsidP="009700BB">
      <w:pPr>
        <w:pStyle w:val="Heading1"/>
        <w:spacing w:after="120"/>
        <w:rPr>
          <w:lang w:eastAsia="en-AU"/>
        </w:rPr>
      </w:pPr>
      <w:r w:rsidRPr="009E11BE">
        <w:rPr>
          <w:lang w:eastAsia="en-AU"/>
        </w:rPr>
        <w:lastRenderedPageBreak/>
        <w:t>Definitions</w:t>
      </w:r>
      <w:bookmarkEnd w:id="6"/>
    </w:p>
    <w:p w14:paraId="5B24D93A" w14:textId="77777777" w:rsidR="001B64C9" w:rsidRPr="009700BB" w:rsidRDefault="0049561B" w:rsidP="009700BB">
      <w:pPr>
        <w:spacing w:after="120"/>
        <w:rPr>
          <w:color w:val="222222"/>
        </w:rPr>
      </w:pPr>
      <w:r w:rsidRPr="009700BB">
        <w:rPr>
          <w:b/>
          <w:color w:val="222222"/>
        </w:rPr>
        <w:t>E</w:t>
      </w:r>
      <w:r w:rsidR="00BA7006" w:rsidRPr="009700BB">
        <w:rPr>
          <w:b/>
          <w:color w:val="222222"/>
        </w:rPr>
        <w:t xml:space="preserve">ligible </w:t>
      </w:r>
      <w:r w:rsidRPr="009700BB">
        <w:rPr>
          <w:b/>
          <w:color w:val="222222"/>
        </w:rPr>
        <w:t>P</w:t>
      </w:r>
      <w:r w:rsidR="00E4319C" w:rsidRPr="009700BB">
        <w:rPr>
          <w:b/>
          <w:color w:val="222222"/>
        </w:rPr>
        <w:t>roject</w:t>
      </w:r>
      <w:r w:rsidR="00BA7006" w:rsidRPr="009700BB">
        <w:rPr>
          <w:b/>
          <w:color w:val="222222"/>
        </w:rPr>
        <w:t xml:space="preserve"> </w:t>
      </w:r>
      <w:r w:rsidR="00E4319C" w:rsidRPr="009700BB">
        <w:rPr>
          <w:color w:val="222222"/>
        </w:rPr>
        <w:t>is described in Section 4.2.</w:t>
      </w:r>
      <w:r w:rsidR="008D1D2A" w:rsidRPr="009700BB">
        <w:rPr>
          <w:color w:val="222222"/>
        </w:rPr>
        <w:t xml:space="preserve"> </w:t>
      </w:r>
    </w:p>
    <w:p w14:paraId="2FAE7A23" w14:textId="77777777" w:rsidR="004D4FA9" w:rsidRPr="009700BB" w:rsidRDefault="0049561B" w:rsidP="009700BB">
      <w:pPr>
        <w:spacing w:after="120"/>
        <w:rPr>
          <w:rFonts w:asciiTheme="minorHAnsi" w:hAnsiTheme="minorHAnsi"/>
          <w:color w:val="222222"/>
        </w:rPr>
      </w:pPr>
      <w:r w:rsidRPr="009700BB">
        <w:rPr>
          <w:rFonts w:asciiTheme="minorHAnsi" w:hAnsiTheme="minorHAnsi"/>
          <w:b/>
        </w:rPr>
        <w:t>A</w:t>
      </w:r>
      <w:r w:rsidR="004D4FA9" w:rsidRPr="009700BB">
        <w:rPr>
          <w:rFonts w:asciiTheme="minorHAnsi" w:hAnsiTheme="minorHAnsi"/>
          <w:b/>
        </w:rPr>
        <w:t>pplicant</w:t>
      </w:r>
      <w:r w:rsidR="004D4FA9" w:rsidRPr="009700BB">
        <w:rPr>
          <w:rFonts w:asciiTheme="minorHAnsi" w:hAnsiTheme="minorHAnsi"/>
        </w:rPr>
        <w:t xml:space="preserve"> means an </w:t>
      </w:r>
      <w:r w:rsidR="00582BE0" w:rsidRPr="009700BB">
        <w:rPr>
          <w:rFonts w:asciiTheme="minorHAnsi" w:hAnsiTheme="minorHAnsi"/>
        </w:rPr>
        <w:t xml:space="preserve">eligible </w:t>
      </w:r>
      <w:r w:rsidR="004D4FA9" w:rsidRPr="009700BB">
        <w:rPr>
          <w:rFonts w:asciiTheme="minorHAnsi" w:hAnsiTheme="minorHAnsi"/>
        </w:rPr>
        <w:t xml:space="preserve">organisation applying for funding under the </w:t>
      </w:r>
      <w:r w:rsidR="001807B8">
        <w:rPr>
          <w:rFonts w:asciiTheme="minorHAnsi" w:hAnsiTheme="minorHAnsi"/>
        </w:rPr>
        <w:t>CENT</w:t>
      </w:r>
      <w:r w:rsidR="004D4FA9" w:rsidRPr="009700BB">
        <w:rPr>
          <w:rFonts w:asciiTheme="minorHAnsi" w:hAnsiTheme="minorHAnsi"/>
        </w:rPr>
        <w:t xml:space="preserve">; </w:t>
      </w:r>
    </w:p>
    <w:p w14:paraId="5390520D" w14:textId="77777777" w:rsidR="004D4FA9" w:rsidRPr="009700BB" w:rsidRDefault="0049561B" w:rsidP="009700BB">
      <w:pPr>
        <w:pStyle w:val="ListParagraph"/>
        <w:autoSpaceDE w:val="0"/>
        <w:autoSpaceDN w:val="0"/>
        <w:adjustRightInd w:val="0"/>
        <w:rPr>
          <w:rFonts w:asciiTheme="minorHAnsi" w:hAnsiTheme="minorHAnsi" w:cs="Calibri"/>
        </w:rPr>
      </w:pPr>
      <w:r w:rsidRPr="009700BB">
        <w:rPr>
          <w:rFonts w:asciiTheme="minorHAnsi" w:hAnsiTheme="minorHAnsi" w:cs="Calibri"/>
          <w:b/>
        </w:rPr>
        <w:t>A</w:t>
      </w:r>
      <w:r w:rsidR="004D4FA9" w:rsidRPr="009700BB">
        <w:rPr>
          <w:rFonts w:asciiTheme="minorHAnsi" w:hAnsiTheme="minorHAnsi" w:cs="Calibri"/>
          <w:b/>
        </w:rPr>
        <w:t>pplication</w:t>
      </w:r>
      <w:r w:rsidR="004D4FA9" w:rsidRPr="009700BB">
        <w:rPr>
          <w:rFonts w:asciiTheme="minorHAnsi" w:hAnsiTheme="minorHAnsi" w:cs="Calibri"/>
        </w:rPr>
        <w:t xml:space="preserve"> means an application (or relevant part of an application) made </w:t>
      </w:r>
      <w:r w:rsidR="005866B2" w:rsidRPr="009700BB">
        <w:rPr>
          <w:rFonts w:asciiTheme="minorHAnsi" w:hAnsiTheme="minorHAnsi" w:cs="Calibri"/>
        </w:rPr>
        <w:t xml:space="preserve">under </w:t>
      </w:r>
      <w:r w:rsidR="004D4FA9" w:rsidRPr="009700BB">
        <w:rPr>
          <w:rFonts w:asciiTheme="minorHAnsi" w:hAnsiTheme="minorHAnsi" w:cs="Calibri"/>
        </w:rPr>
        <w:t xml:space="preserve">the </w:t>
      </w:r>
      <w:r w:rsidR="00932BF8">
        <w:rPr>
          <w:rFonts w:asciiTheme="minorHAnsi" w:hAnsiTheme="minorHAnsi" w:cs="Calibri"/>
        </w:rPr>
        <w:t>CENT</w:t>
      </w:r>
      <w:r w:rsidR="004D4FA9" w:rsidRPr="009700BB">
        <w:rPr>
          <w:rFonts w:asciiTheme="minorHAnsi" w:hAnsiTheme="minorHAnsi" w:cs="Calibri"/>
        </w:rPr>
        <w:t xml:space="preserve"> and includes the application form and any other supporting or additional information in whatever form provided by the applicant to the </w:t>
      </w:r>
      <w:r w:rsidR="00F90960" w:rsidRPr="009700BB">
        <w:rPr>
          <w:rFonts w:asciiTheme="minorHAnsi" w:hAnsiTheme="minorHAnsi" w:cs="Calibri"/>
        </w:rPr>
        <w:t xml:space="preserve">Department </w:t>
      </w:r>
      <w:r w:rsidR="004D4FA9" w:rsidRPr="009700BB">
        <w:rPr>
          <w:rFonts w:asciiTheme="minorHAnsi" w:hAnsiTheme="minorHAnsi" w:cs="Calibri"/>
        </w:rPr>
        <w:t xml:space="preserve"> in connection with its application at any stage of the assessment process; </w:t>
      </w:r>
    </w:p>
    <w:p w14:paraId="62A8A58C" w14:textId="77777777" w:rsidR="00266F99" w:rsidRPr="009700BB" w:rsidRDefault="00266F99" w:rsidP="009700BB">
      <w:pPr>
        <w:spacing w:after="120"/>
        <w:rPr>
          <w:color w:val="222222"/>
        </w:rPr>
      </w:pPr>
      <w:r w:rsidRPr="009700BB">
        <w:rPr>
          <w:b/>
          <w:color w:val="222222"/>
        </w:rPr>
        <w:t>Auditable</w:t>
      </w:r>
      <w:r w:rsidRPr="009700BB">
        <w:rPr>
          <w:color w:val="222222"/>
        </w:rPr>
        <w:t xml:space="preserve"> means able to be audited</w:t>
      </w:r>
      <w:r w:rsidR="005C7AA3" w:rsidRPr="009700BB">
        <w:rPr>
          <w:color w:val="222222"/>
        </w:rPr>
        <w:t xml:space="preserve">. In this document it refers to </w:t>
      </w:r>
      <w:r w:rsidRPr="009700BB">
        <w:rPr>
          <w:color w:val="222222"/>
        </w:rPr>
        <w:t>project costs</w:t>
      </w:r>
      <w:r w:rsidR="005C7AA3" w:rsidRPr="009700BB">
        <w:rPr>
          <w:color w:val="222222"/>
        </w:rPr>
        <w:t xml:space="preserve"> to be maintained in a format that allows an auditor to examine records or financial accounts to check their accuracy.</w:t>
      </w:r>
    </w:p>
    <w:p w14:paraId="7AE3CA1E" w14:textId="77777777" w:rsidR="00565E7F" w:rsidRPr="009700BB" w:rsidRDefault="0049561B" w:rsidP="009700BB">
      <w:pPr>
        <w:pStyle w:val="ListParagraph"/>
        <w:autoSpaceDE w:val="0"/>
        <w:autoSpaceDN w:val="0"/>
        <w:adjustRightInd w:val="0"/>
        <w:rPr>
          <w:rFonts w:asciiTheme="minorHAnsi" w:hAnsiTheme="minorHAnsi" w:cs="Calibri"/>
          <w:bCs/>
        </w:rPr>
      </w:pPr>
      <w:r w:rsidRPr="009700BB">
        <w:rPr>
          <w:rFonts w:asciiTheme="minorHAnsi" w:hAnsiTheme="minorHAnsi" w:cs="Calibri"/>
          <w:b/>
        </w:rPr>
        <w:t>E</w:t>
      </w:r>
      <w:r w:rsidR="00565E7F" w:rsidRPr="009700BB">
        <w:rPr>
          <w:rFonts w:asciiTheme="minorHAnsi" w:hAnsiTheme="minorHAnsi" w:cs="Calibri"/>
          <w:b/>
        </w:rPr>
        <w:t xml:space="preserve">ligible organisation </w:t>
      </w:r>
      <w:r w:rsidR="00565E7F" w:rsidRPr="009700BB">
        <w:rPr>
          <w:rFonts w:asciiTheme="minorHAnsi" w:hAnsiTheme="minorHAnsi" w:cs="Calibri"/>
          <w:bCs/>
        </w:rPr>
        <w:t xml:space="preserve">means </w:t>
      </w:r>
      <w:r w:rsidR="00D6696A" w:rsidRPr="009700BB">
        <w:rPr>
          <w:rFonts w:asciiTheme="minorHAnsi" w:hAnsiTheme="minorHAnsi" w:cs="Calibri"/>
          <w:bCs/>
        </w:rPr>
        <w:t>an</w:t>
      </w:r>
      <w:r w:rsidR="005879FB" w:rsidRPr="009700BB">
        <w:rPr>
          <w:rFonts w:asciiTheme="minorHAnsi" w:hAnsiTheme="minorHAnsi" w:cs="Calibri"/>
          <w:bCs/>
        </w:rPr>
        <w:t xml:space="preserve"> entity</w:t>
      </w:r>
      <w:r w:rsidR="00565E7F" w:rsidRPr="009700BB">
        <w:rPr>
          <w:rFonts w:asciiTheme="minorHAnsi" w:hAnsiTheme="minorHAnsi" w:cs="Calibri"/>
          <w:bCs/>
        </w:rPr>
        <w:t xml:space="preserve"> that</w:t>
      </w:r>
      <w:r w:rsidR="00C26CA0" w:rsidRPr="009700BB">
        <w:rPr>
          <w:rFonts w:asciiTheme="minorHAnsi" w:hAnsiTheme="minorHAnsi" w:cs="Calibri"/>
          <w:bCs/>
        </w:rPr>
        <w:t xml:space="preserve"> </w:t>
      </w:r>
      <w:r w:rsidR="00565E7F" w:rsidRPr="009700BB">
        <w:rPr>
          <w:rFonts w:asciiTheme="minorHAnsi" w:hAnsiTheme="minorHAnsi" w:cs="Calibri"/>
          <w:bCs/>
        </w:rPr>
        <w:t>satisfies the following criteria:</w:t>
      </w:r>
    </w:p>
    <w:p w14:paraId="0FCDCE12" w14:textId="64896A17" w:rsidR="00C26CA0" w:rsidRPr="009700BB" w:rsidRDefault="004361A2" w:rsidP="009700BB">
      <w:pPr>
        <w:pStyle w:val="ListParagraph"/>
        <w:numPr>
          <w:ilvl w:val="0"/>
          <w:numId w:val="15"/>
        </w:numPr>
        <w:autoSpaceDE w:val="0"/>
        <w:autoSpaceDN w:val="0"/>
        <w:adjustRightInd w:val="0"/>
        <w:ind w:left="709" w:hanging="426"/>
        <w:rPr>
          <w:rFonts w:asciiTheme="minorHAnsi" w:hAnsiTheme="minorHAnsi" w:cs="Calibri"/>
          <w:bCs/>
        </w:rPr>
      </w:pPr>
      <w:r w:rsidRPr="009700BB">
        <w:rPr>
          <w:rFonts w:asciiTheme="minorHAnsi" w:hAnsiTheme="minorHAnsi" w:cs="Calibri"/>
          <w:bCs/>
        </w:rPr>
        <w:t>is a</w:t>
      </w:r>
      <w:r w:rsidR="008B5779">
        <w:rPr>
          <w:rFonts w:asciiTheme="minorHAnsi" w:hAnsiTheme="minorHAnsi" w:cs="Calibri"/>
          <w:bCs/>
        </w:rPr>
        <w:t>n incorporated</w:t>
      </w:r>
      <w:r w:rsidRPr="009700BB">
        <w:rPr>
          <w:rFonts w:asciiTheme="minorHAnsi" w:hAnsiTheme="minorHAnsi" w:cs="Calibri"/>
          <w:bCs/>
        </w:rPr>
        <w:t xml:space="preserve"> legal entity</w:t>
      </w:r>
      <w:r w:rsidR="007A0DCC">
        <w:rPr>
          <w:rFonts w:asciiTheme="minorHAnsi" w:hAnsiTheme="minorHAnsi" w:cs="Calibri"/>
          <w:bCs/>
        </w:rPr>
        <w:t xml:space="preserve">. Entities </w:t>
      </w:r>
      <w:r w:rsidR="007A0DCC" w:rsidRPr="00E44BCC">
        <w:rPr>
          <w:rFonts w:asciiTheme="minorHAnsi" w:hAnsiTheme="minorHAnsi" w:cs="Calibri"/>
          <w:bCs/>
        </w:rPr>
        <w:t>may be for profit or not-for-profit</w:t>
      </w:r>
      <w:r w:rsidR="007A0DCC" w:rsidRPr="009700BB">
        <w:rPr>
          <w:rFonts w:asciiTheme="minorHAnsi" w:hAnsiTheme="minorHAnsi" w:cs="Calibri"/>
          <w:bCs/>
          <w:i/>
        </w:rPr>
        <w:t>.</w:t>
      </w:r>
      <w:r w:rsidRPr="009700BB">
        <w:rPr>
          <w:rFonts w:asciiTheme="minorHAnsi" w:hAnsiTheme="minorHAnsi" w:cs="Calibri"/>
          <w:bCs/>
        </w:rPr>
        <w:t>; and</w:t>
      </w:r>
    </w:p>
    <w:p w14:paraId="6567550A" w14:textId="77777777" w:rsidR="00F82BF0" w:rsidRDefault="004361A2" w:rsidP="00F82BF0">
      <w:pPr>
        <w:pStyle w:val="ListParagraph"/>
        <w:numPr>
          <w:ilvl w:val="0"/>
          <w:numId w:val="15"/>
        </w:numPr>
        <w:autoSpaceDE w:val="0"/>
        <w:autoSpaceDN w:val="0"/>
        <w:adjustRightInd w:val="0"/>
        <w:ind w:left="709" w:hanging="426"/>
        <w:rPr>
          <w:rFonts w:asciiTheme="minorHAnsi" w:hAnsiTheme="minorHAnsi" w:cs="Calibri"/>
          <w:bCs/>
        </w:rPr>
      </w:pPr>
      <w:r w:rsidRPr="009700BB">
        <w:rPr>
          <w:rFonts w:asciiTheme="minorHAnsi" w:hAnsiTheme="minorHAnsi" w:cs="Calibri"/>
          <w:bCs/>
        </w:rPr>
        <w:t xml:space="preserve">holds a valid Australian Business Number and has been operating </w:t>
      </w:r>
      <w:r w:rsidR="00A84B58" w:rsidRPr="009700BB">
        <w:rPr>
          <w:rFonts w:asciiTheme="minorHAnsi" w:hAnsiTheme="minorHAnsi" w:cs="Calibri"/>
          <w:bCs/>
        </w:rPr>
        <w:t xml:space="preserve">under that </w:t>
      </w:r>
      <w:r w:rsidR="001807B8">
        <w:rPr>
          <w:rFonts w:asciiTheme="minorHAnsi" w:hAnsiTheme="minorHAnsi" w:cs="Calibri"/>
          <w:bCs/>
        </w:rPr>
        <w:t xml:space="preserve">ABN </w:t>
      </w:r>
      <w:r w:rsidR="00A84B58" w:rsidRPr="009700BB">
        <w:rPr>
          <w:rFonts w:asciiTheme="minorHAnsi" w:hAnsiTheme="minorHAnsi" w:cs="Calibri"/>
          <w:bCs/>
        </w:rPr>
        <w:t>for at least one year</w:t>
      </w:r>
      <w:r w:rsidR="001807B8">
        <w:rPr>
          <w:rFonts w:asciiTheme="minorHAnsi" w:hAnsiTheme="minorHAnsi" w:cs="Calibri"/>
          <w:bCs/>
        </w:rPr>
        <w:t xml:space="preserve"> at </w:t>
      </w:r>
      <w:r w:rsidR="007A0DCC">
        <w:rPr>
          <w:rFonts w:asciiTheme="minorHAnsi" w:hAnsiTheme="minorHAnsi" w:cs="Calibri"/>
          <w:bCs/>
        </w:rPr>
        <w:t xml:space="preserve">date </w:t>
      </w:r>
      <w:r w:rsidR="001807B8">
        <w:rPr>
          <w:rFonts w:asciiTheme="minorHAnsi" w:hAnsiTheme="minorHAnsi" w:cs="Calibri"/>
          <w:bCs/>
        </w:rPr>
        <w:t>of</w:t>
      </w:r>
      <w:r w:rsidR="007A0DCC">
        <w:rPr>
          <w:rFonts w:asciiTheme="minorHAnsi" w:hAnsiTheme="minorHAnsi" w:cs="Calibri"/>
          <w:bCs/>
        </w:rPr>
        <w:t xml:space="preserve"> </w:t>
      </w:r>
      <w:r w:rsidR="001807B8">
        <w:rPr>
          <w:rFonts w:asciiTheme="minorHAnsi" w:hAnsiTheme="minorHAnsi" w:cs="Calibri"/>
          <w:bCs/>
        </w:rPr>
        <w:t>application</w:t>
      </w:r>
      <w:r w:rsidR="007A0DCC">
        <w:rPr>
          <w:rFonts w:asciiTheme="minorHAnsi" w:hAnsiTheme="minorHAnsi" w:cs="Calibri"/>
          <w:bCs/>
        </w:rPr>
        <w:t xml:space="preserve"> submission</w:t>
      </w:r>
      <w:r w:rsidR="00A84B58" w:rsidRPr="009700BB">
        <w:rPr>
          <w:rFonts w:asciiTheme="minorHAnsi" w:hAnsiTheme="minorHAnsi" w:cs="Calibri"/>
          <w:bCs/>
        </w:rPr>
        <w:t>;</w:t>
      </w:r>
      <w:r w:rsidR="00582BE0" w:rsidRPr="009700BB">
        <w:rPr>
          <w:rFonts w:asciiTheme="minorHAnsi" w:hAnsiTheme="minorHAnsi" w:cs="Calibri"/>
          <w:bCs/>
        </w:rPr>
        <w:t xml:space="preserve"> and</w:t>
      </w:r>
    </w:p>
    <w:p w14:paraId="48364BEE" w14:textId="77777777" w:rsidR="00DF184E" w:rsidRPr="009700BB" w:rsidRDefault="000F19A7" w:rsidP="000F19A7">
      <w:pPr>
        <w:pStyle w:val="CommentText"/>
        <w:spacing w:after="120"/>
        <w:ind w:left="709" w:hanging="425"/>
        <w:rPr>
          <w:sz w:val="22"/>
          <w:szCs w:val="22"/>
        </w:rPr>
      </w:pPr>
      <w:proofErr w:type="gramStart"/>
      <w:r>
        <w:rPr>
          <w:sz w:val="22"/>
          <w:szCs w:val="22"/>
        </w:rPr>
        <w:t>( c</w:t>
      </w:r>
      <w:proofErr w:type="gramEnd"/>
      <w:r>
        <w:rPr>
          <w:sz w:val="22"/>
          <w:szCs w:val="22"/>
        </w:rPr>
        <w:t>)</w:t>
      </w:r>
      <w:r>
        <w:rPr>
          <w:sz w:val="22"/>
          <w:szCs w:val="22"/>
        </w:rPr>
        <w:tab/>
      </w:r>
      <w:r w:rsidR="007A0DCC">
        <w:rPr>
          <w:sz w:val="22"/>
          <w:szCs w:val="22"/>
        </w:rPr>
        <w:t xml:space="preserve">can evidence </w:t>
      </w:r>
      <w:r w:rsidR="001419F6">
        <w:rPr>
          <w:sz w:val="22"/>
          <w:szCs w:val="22"/>
        </w:rPr>
        <w:t xml:space="preserve">that it has </w:t>
      </w:r>
      <w:r w:rsidR="007A0DCC">
        <w:rPr>
          <w:sz w:val="22"/>
          <w:szCs w:val="22"/>
        </w:rPr>
        <w:t>the</w:t>
      </w:r>
      <w:r w:rsidR="009A59E3" w:rsidRPr="009700BB">
        <w:rPr>
          <w:sz w:val="22"/>
          <w:szCs w:val="22"/>
        </w:rPr>
        <w:t xml:space="preserve"> financial capacity</w:t>
      </w:r>
      <w:r w:rsidR="00B40B0D">
        <w:rPr>
          <w:sz w:val="22"/>
          <w:szCs w:val="22"/>
        </w:rPr>
        <w:t>*</w:t>
      </w:r>
      <w:r w:rsidR="00543812" w:rsidRPr="009700BB">
        <w:rPr>
          <w:sz w:val="22"/>
          <w:szCs w:val="22"/>
        </w:rPr>
        <w:t xml:space="preserve"> and</w:t>
      </w:r>
      <w:r w:rsidR="007A0DCC">
        <w:rPr>
          <w:sz w:val="22"/>
          <w:szCs w:val="22"/>
        </w:rPr>
        <w:t xml:space="preserve"> the </w:t>
      </w:r>
      <w:r w:rsidR="00543812" w:rsidRPr="009700BB">
        <w:rPr>
          <w:sz w:val="22"/>
          <w:szCs w:val="22"/>
        </w:rPr>
        <w:t xml:space="preserve">authority to commit co-funding of </w:t>
      </w:r>
      <w:r w:rsidR="00CC22C3" w:rsidRPr="009700BB">
        <w:rPr>
          <w:sz w:val="22"/>
          <w:szCs w:val="22"/>
        </w:rPr>
        <w:t xml:space="preserve">at least </w:t>
      </w:r>
      <w:r w:rsidR="009A59E3" w:rsidRPr="009700BB">
        <w:rPr>
          <w:sz w:val="22"/>
          <w:szCs w:val="22"/>
        </w:rPr>
        <w:t>50% of the total eligible project costs</w:t>
      </w:r>
      <w:r w:rsidR="00DF6808" w:rsidRPr="009700BB">
        <w:rPr>
          <w:sz w:val="22"/>
          <w:szCs w:val="22"/>
        </w:rPr>
        <w:t xml:space="preserve"> </w:t>
      </w:r>
      <w:r w:rsidR="00DF184E" w:rsidRPr="009700BB">
        <w:rPr>
          <w:rFonts w:asciiTheme="minorHAnsi" w:hAnsiTheme="minorHAnsi" w:cs="Calibri"/>
          <w:bCs/>
          <w:sz w:val="22"/>
          <w:szCs w:val="22"/>
        </w:rPr>
        <w:t>;</w:t>
      </w:r>
      <w:r w:rsidR="00B127C7" w:rsidRPr="009700BB">
        <w:rPr>
          <w:rFonts w:asciiTheme="minorHAnsi" w:hAnsiTheme="minorHAnsi" w:cs="Calibri"/>
          <w:bCs/>
          <w:sz w:val="22"/>
          <w:szCs w:val="22"/>
        </w:rPr>
        <w:t xml:space="preserve"> </w:t>
      </w:r>
      <w:r w:rsidR="00582BE0" w:rsidRPr="009700BB">
        <w:rPr>
          <w:rFonts w:asciiTheme="minorHAnsi" w:hAnsiTheme="minorHAnsi" w:cs="Calibri"/>
          <w:bCs/>
          <w:sz w:val="22"/>
          <w:szCs w:val="22"/>
        </w:rPr>
        <w:t>and</w:t>
      </w:r>
    </w:p>
    <w:p w14:paraId="660BC77E" w14:textId="37D385F3" w:rsidR="00B80309" w:rsidRPr="009700BB" w:rsidRDefault="00B127C7" w:rsidP="009700BB">
      <w:pPr>
        <w:pStyle w:val="ListParagraph"/>
        <w:numPr>
          <w:ilvl w:val="0"/>
          <w:numId w:val="16"/>
        </w:numPr>
        <w:autoSpaceDE w:val="0"/>
        <w:autoSpaceDN w:val="0"/>
        <w:adjustRightInd w:val="0"/>
        <w:ind w:left="709" w:hanging="426"/>
        <w:rPr>
          <w:rFonts w:asciiTheme="minorHAnsi" w:hAnsiTheme="minorHAnsi" w:cs="Calibri"/>
          <w:bCs/>
        </w:rPr>
      </w:pPr>
      <w:r w:rsidRPr="009700BB">
        <w:rPr>
          <w:rFonts w:asciiTheme="minorHAnsi" w:hAnsiTheme="minorHAnsi" w:cs="Calibri"/>
          <w:bCs/>
        </w:rPr>
        <w:t>has a history of compliance</w:t>
      </w:r>
      <w:r w:rsidR="00B40B0D">
        <w:rPr>
          <w:rFonts w:asciiTheme="minorHAnsi" w:hAnsiTheme="minorHAnsi" w:cs="Calibri"/>
          <w:bCs/>
        </w:rPr>
        <w:t>**</w:t>
      </w:r>
      <w:r w:rsidRPr="009700BB">
        <w:rPr>
          <w:rFonts w:asciiTheme="minorHAnsi" w:hAnsiTheme="minorHAnsi" w:cs="Calibri"/>
          <w:bCs/>
        </w:rPr>
        <w:t xml:space="preserve"> with all legislative requirements</w:t>
      </w:r>
      <w:r w:rsidR="007A0DCC">
        <w:rPr>
          <w:rFonts w:asciiTheme="minorHAnsi" w:hAnsiTheme="minorHAnsi" w:cs="Calibri"/>
          <w:bCs/>
        </w:rPr>
        <w:t xml:space="preserve"> including but not limited to environmental compliance,</w:t>
      </w:r>
      <w:r w:rsidRPr="009700BB">
        <w:rPr>
          <w:rFonts w:asciiTheme="minorHAnsi" w:hAnsiTheme="minorHAnsi" w:cs="Calibri"/>
          <w:bCs/>
        </w:rPr>
        <w:t xml:space="preserve"> </w:t>
      </w:r>
      <w:r w:rsidR="001419F6">
        <w:rPr>
          <w:rFonts w:asciiTheme="minorHAnsi" w:hAnsiTheme="minorHAnsi" w:cs="Calibri"/>
          <w:bCs/>
        </w:rPr>
        <w:t>its</w:t>
      </w:r>
      <w:r w:rsidR="000F19A7">
        <w:rPr>
          <w:rFonts w:asciiTheme="minorHAnsi" w:hAnsiTheme="minorHAnsi" w:cs="Calibri"/>
          <w:bCs/>
        </w:rPr>
        <w:t xml:space="preserve"> </w:t>
      </w:r>
      <w:r w:rsidRPr="009700BB">
        <w:rPr>
          <w:rFonts w:asciiTheme="minorHAnsi" w:hAnsiTheme="minorHAnsi" w:cs="Calibri"/>
          <w:bCs/>
        </w:rPr>
        <w:t>governing legislation</w:t>
      </w:r>
      <w:r w:rsidR="007A0DCC">
        <w:rPr>
          <w:rFonts w:asciiTheme="minorHAnsi" w:hAnsiTheme="minorHAnsi" w:cs="Calibri"/>
          <w:bCs/>
        </w:rPr>
        <w:t>,</w:t>
      </w:r>
      <w:r w:rsidRPr="009700BB">
        <w:rPr>
          <w:rFonts w:asciiTheme="minorHAnsi" w:hAnsiTheme="minorHAnsi" w:cs="Calibri"/>
          <w:bCs/>
        </w:rPr>
        <w:t xml:space="preserve"> and is fully compliant </w:t>
      </w:r>
      <w:r w:rsidR="001419F6">
        <w:rPr>
          <w:rFonts w:asciiTheme="minorHAnsi" w:hAnsiTheme="minorHAnsi" w:cs="Calibri"/>
          <w:bCs/>
        </w:rPr>
        <w:t xml:space="preserve">with all relevant laws </w:t>
      </w:r>
      <w:r w:rsidRPr="009700BB">
        <w:rPr>
          <w:rFonts w:asciiTheme="minorHAnsi" w:hAnsiTheme="minorHAnsi" w:cs="Calibri"/>
          <w:bCs/>
        </w:rPr>
        <w:t xml:space="preserve">as </w:t>
      </w:r>
      <w:r w:rsidR="007A0DCC">
        <w:rPr>
          <w:rFonts w:asciiTheme="minorHAnsi" w:hAnsiTheme="minorHAnsi" w:cs="Calibri"/>
          <w:bCs/>
        </w:rPr>
        <w:t>at date of application submission</w:t>
      </w:r>
      <w:r w:rsidR="00582BE0" w:rsidRPr="009700BB">
        <w:rPr>
          <w:rFonts w:asciiTheme="minorHAnsi" w:hAnsiTheme="minorHAnsi" w:cs="Calibri"/>
          <w:bCs/>
        </w:rPr>
        <w:t>.</w:t>
      </w:r>
    </w:p>
    <w:p w14:paraId="6CF12B66" w14:textId="79194254" w:rsidR="00C77F69" w:rsidRDefault="00C77F69" w:rsidP="009700BB">
      <w:pPr>
        <w:autoSpaceDE w:val="0"/>
        <w:autoSpaceDN w:val="0"/>
        <w:adjustRightInd w:val="0"/>
        <w:spacing w:after="120"/>
        <w:rPr>
          <w:rFonts w:asciiTheme="minorHAnsi" w:hAnsiTheme="minorHAnsi" w:cs="Calibri"/>
          <w:bCs/>
          <w:i/>
        </w:rPr>
      </w:pPr>
      <w:r w:rsidRPr="009700BB">
        <w:rPr>
          <w:rFonts w:asciiTheme="minorHAnsi" w:hAnsiTheme="minorHAnsi" w:cs="Calibri"/>
          <w:bCs/>
          <w:i/>
        </w:rPr>
        <w:t>Examples of</w:t>
      </w:r>
      <w:r w:rsidR="005317ED" w:rsidRPr="009700BB">
        <w:rPr>
          <w:rFonts w:asciiTheme="minorHAnsi" w:hAnsiTheme="minorHAnsi" w:cs="Calibri"/>
          <w:bCs/>
          <w:i/>
        </w:rPr>
        <w:t xml:space="preserve"> entities that may be</w:t>
      </w:r>
      <w:r w:rsidRPr="009700BB">
        <w:rPr>
          <w:rFonts w:asciiTheme="minorHAnsi" w:hAnsiTheme="minorHAnsi" w:cs="Calibri"/>
          <w:bCs/>
          <w:i/>
        </w:rPr>
        <w:t xml:space="preserve"> eligible organisations </w:t>
      </w:r>
      <w:proofErr w:type="gramStart"/>
      <w:r w:rsidRPr="009700BB">
        <w:rPr>
          <w:rFonts w:asciiTheme="minorHAnsi" w:hAnsiTheme="minorHAnsi" w:cs="Calibri"/>
          <w:bCs/>
          <w:i/>
        </w:rPr>
        <w:t>are,,</w:t>
      </w:r>
      <w:proofErr w:type="gramEnd"/>
      <w:r w:rsidRPr="009700BB">
        <w:rPr>
          <w:rFonts w:asciiTheme="minorHAnsi" w:hAnsiTheme="minorHAnsi" w:cs="Calibri"/>
          <w:bCs/>
          <w:i/>
        </w:rPr>
        <w:t xml:space="preserve"> </w:t>
      </w:r>
      <w:r w:rsidR="005317ED" w:rsidRPr="009700BB">
        <w:rPr>
          <w:rFonts w:asciiTheme="minorHAnsi" w:hAnsiTheme="minorHAnsi" w:cs="Calibri"/>
          <w:bCs/>
          <w:i/>
        </w:rPr>
        <w:t>companies,</w:t>
      </w:r>
      <w:r w:rsidR="008B5779">
        <w:rPr>
          <w:rFonts w:asciiTheme="minorHAnsi" w:hAnsiTheme="minorHAnsi" w:cs="Calibri"/>
          <w:bCs/>
          <w:i/>
        </w:rPr>
        <w:t xml:space="preserve"> incorporated Associations,</w:t>
      </w:r>
      <w:r w:rsidR="000B573F">
        <w:rPr>
          <w:rFonts w:asciiTheme="minorHAnsi" w:hAnsiTheme="minorHAnsi" w:cs="Calibri"/>
          <w:bCs/>
          <w:i/>
        </w:rPr>
        <w:t xml:space="preserve"> local government councils</w:t>
      </w:r>
      <w:r w:rsidR="00F82BF0">
        <w:rPr>
          <w:rFonts w:asciiTheme="minorHAnsi" w:hAnsiTheme="minorHAnsi" w:cs="Calibri"/>
          <w:bCs/>
          <w:i/>
        </w:rPr>
        <w:t xml:space="preserve"> </w:t>
      </w:r>
      <w:r w:rsidRPr="009700BB">
        <w:rPr>
          <w:rFonts w:asciiTheme="minorHAnsi" w:hAnsiTheme="minorHAnsi" w:cs="Calibri"/>
          <w:bCs/>
          <w:i/>
        </w:rPr>
        <w:t>and aboriginal organisations</w:t>
      </w:r>
      <w:r w:rsidR="005317ED" w:rsidRPr="009700BB">
        <w:rPr>
          <w:rFonts w:asciiTheme="minorHAnsi" w:hAnsiTheme="minorHAnsi" w:cs="Calibri"/>
          <w:bCs/>
          <w:i/>
        </w:rPr>
        <w:t xml:space="preserve"> noting that they must meet all the criteria outlined above.</w:t>
      </w:r>
      <w:r w:rsidR="00EE6225" w:rsidRPr="009700BB">
        <w:rPr>
          <w:rFonts w:asciiTheme="minorHAnsi" w:hAnsiTheme="minorHAnsi" w:cs="Calibri"/>
          <w:bCs/>
          <w:i/>
        </w:rPr>
        <w:t xml:space="preserve">  </w:t>
      </w:r>
    </w:p>
    <w:p w14:paraId="7B1AE734" w14:textId="77777777" w:rsidR="00B40B0D" w:rsidRDefault="00B40B0D" w:rsidP="009700BB">
      <w:pPr>
        <w:autoSpaceDE w:val="0"/>
        <w:autoSpaceDN w:val="0"/>
        <w:adjustRightInd w:val="0"/>
        <w:spacing w:after="120"/>
        <w:rPr>
          <w:rFonts w:asciiTheme="minorHAnsi" w:hAnsiTheme="minorHAnsi" w:cs="Calibri"/>
          <w:bCs/>
          <w:i/>
        </w:rPr>
      </w:pPr>
      <w:r>
        <w:rPr>
          <w:rFonts w:asciiTheme="minorHAnsi" w:hAnsiTheme="minorHAnsi" w:cs="Calibri"/>
          <w:bCs/>
          <w:i/>
        </w:rPr>
        <w:t xml:space="preserve">*Financial capacity- </w:t>
      </w:r>
      <w:r w:rsidR="0055416A">
        <w:rPr>
          <w:rFonts w:asciiTheme="minorHAnsi" w:hAnsiTheme="minorHAnsi" w:cs="Calibri"/>
          <w:bCs/>
          <w:i/>
        </w:rPr>
        <w:t xml:space="preserve">evidence that confirms </w:t>
      </w:r>
      <w:r>
        <w:rPr>
          <w:rFonts w:asciiTheme="minorHAnsi" w:hAnsiTheme="minorHAnsi" w:cs="Calibri"/>
          <w:bCs/>
          <w:i/>
        </w:rPr>
        <w:t>project proponent’s financial capability</w:t>
      </w:r>
      <w:r w:rsidR="0055416A">
        <w:rPr>
          <w:rFonts w:asciiTheme="minorHAnsi" w:hAnsiTheme="minorHAnsi" w:cs="Calibri"/>
          <w:bCs/>
          <w:i/>
        </w:rPr>
        <w:t xml:space="preserve"> must be submitted with the application</w:t>
      </w:r>
      <w:r>
        <w:rPr>
          <w:rFonts w:asciiTheme="minorHAnsi" w:hAnsiTheme="minorHAnsi" w:cs="Calibri"/>
          <w:bCs/>
          <w:i/>
        </w:rPr>
        <w:t>.</w:t>
      </w:r>
      <w:r w:rsidR="0055416A">
        <w:rPr>
          <w:rFonts w:asciiTheme="minorHAnsi" w:hAnsiTheme="minorHAnsi" w:cs="Calibri"/>
          <w:bCs/>
          <w:i/>
        </w:rPr>
        <w:t xml:space="preserve"> Examples of acceptable evidence can be found in the application form.</w:t>
      </w:r>
    </w:p>
    <w:p w14:paraId="5224BF88" w14:textId="77777777" w:rsidR="00B40B0D" w:rsidRPr="009700BB" w:rsidRDefault="00B40B0D" w:rsidP="009700BB">
      <w:pPr>
        <w:autoSpaceDE w:val="0"/>
        <w:autoSpaceDN w:val="0"/>
        <w:adjustRightInd w:val="0"/>
        <w:spacing w:after="120"/>
        <w:rPr>
          <w:rFonts w:asciiTheme="minorHAnsi" w:hAnsiTheme="minorHAnsi" w:cs="Calibri"/>
          <w:bCs/>
          <w:i/>
        </w:rPr>
      </w:pPr>
      <w:r>
        <w:rPr>
          <w:rFonts w:asciiTheme="minorHAnsi" w:hAnsiTheme="minorHAnsi" w:cs="Calibri"/>
          <w:bCs/>
          <w:i/>
        </w:rPr>
        <w:t>**Compliance – Environmental compliance will be checked through NT EPA (NT Environment Protection Authority)</w:t>
      </w:r>
    </w:p>
    <w:p w14:paraId="66D4B82B" w14:textId="2CD0EE70" w:rsidR="00347EBB" w:rsidRPr="009700BB" w:rsidRDefault="0049561B" w:rsidP="009700BB">
      <w:pPr>
        <w:pStyle w:val="ListParagraph"/>
        <w:tabs>
          <w:tab w:val="left" w:pos="851"/>
        </w:tabs>
        <w:autoSpaceDE w:val="0"/>
        <w:autoSpaceDN w:val="0"/>
        <w:adjustRightInd w:val="0"/>
        <w:rPr>
          <w:rFonts w:asciiTheme="minorHAnsi" w:hAnsiTheme="minorHAnsi" w:cs="Calibri"/>
          <w:bCs/>
        </w:rPr>
      </w:pPr>
      <w:r w:rsidRPr="009700BB">
        <w:rPr>
          <w:rFonts w:asciiTheme="minorHAnsi" w:hAnsiTheme="minorHAnsi" w:cs="Calibri"/>
          <w:b/>
        </w:rPr>
        <w:t>E</w:t>
      </w:r>
      <w:r w:rsidR="001B04A7" w:rsidRPr="009700BB">
        <w:rPr>
          <w:rFonts w:asciiTheme="minorHAnsi" w:hAnsiTheme="minorHAnsi" w:cs="Calibri"/>
          <w:b/>
        </w:rPr>
        <w:t xml:space="preserve">xcluded organisations </w:t>
      </w:r>
      <w:r w:rsidR="007B709B" w:rsidRPr="009700BB">
        <w:rPr>
          <w:rFonts w:asciiTheme="minorHAnsi" w:hAnsiTheme="minorHAnsi" w:cs="Calibri"/>
          <w:bCs/>
        </w:rPr>
        <w:t>are public and private educational institutions, government agencies</w:t>
      </w:r>
      <w:r w:rsidR="0037248E">
        <w:rPr>
          <w:rFonts w:asciiTheme="minorHAnsi" w:hAnsiTheme="minorHAnsi" w:cs="Calibri"/>
          <w:bCs/>
        </w:rPr>
        <w:t>,</w:t>
      </w:r>
      <w:r w:rsidR="001474E9">
        <w:rPr>
          <w:rFonts w:asciiTheme="minorHAnsi" w:hAnsiTheme="minorHAnsi" w:cs="Calibri"/>
          <w:bCs/>
        </w:rPr>
        <w:t xml:space="preserve"> </w:t>
      </w:r>
      <w:r w:rsidR="007B709B" w:rsidRPr="009700BB">
        <w:rPr>
          <w:rFonts w:asciiTheme="minorHAnsi" w:hAnsiTheme="minorHAnsi" w:cs="Calibri"/>
          <w:bCs/>
        </w:rPr>
        <w:t>statutory corporations</w:t>
      </w:r>
      <w:r w:rsidR="0037248E">
        <w:rPr>
          <w:rFonts w:asciiTheme="minorHAnsi" w:hAnsiTheme="minorHAnsi" w:cs="Calibri"/>
          <w:bCs/>
        </w:rPr>
        <w:t xml:space="preserve"> and government owned or controlled bodies that are not local government councils</w:t>
      </w:r>
      <w:r w:rsidR="00A91443" w:rsidRPr="009700BB">
        <w:rPr>
          <w:rFonts w:asciiTheme="minorHAnsi" w:hAnsiTheme="minorHAnsi" w:cs="Calibri"/>
          <w:bCs/>
        </w:rPr>
        <w:t>.</w:t>
      </w:r>
    </w:p>
    <w:p w14:paraId="09AA3BD1" w14:textId="77777777" w:rsidR="004265ED" w:rsidRPr="009700BB" w:rsidRDefault="0022207F" w:rsidP="009700BB">
      <w:pPr>
        <w:pStyle w:val="ListParagraph"/>
        <w:autoSpaceDE w:val="0"/>
        <w:autoSpaceDN w:val="0"/>
        <w:adjustRightInd w:val="0"/>
        <w:rPr>
          <w:rFonts w:asciiTheme="minorHAnsi" w:hAnsiTheme="minorHAnsi" w:cs="Calibri"/>
        </w:rPr>
      </w:pPr>
      <w:r w:rsidRPr="009700BB">
        <w:rPr>
          <w:rFonts w:asciiTheme="minorHAnsi" w:hAnsiTheme="minorHAnsi" w:cs="Calibri"/>
          <w:b/>
        </w:rPr>
        <w:t>CE</w:t>
      </w:r>
      <w:r w:rsidR="00F82BF0">
        <w:rPr>
          <w:rFonts w:asciiTheme="minorHAnsi" w:hAnsiTheme="minorHAnsi" w:cs="Calibri"/>
          <w:b/>
        </w:rPr>
        <w:t>NT</w:t>
      </w:r>
      <w:r w:rsidR="004D4FA9" w:rsidRPr="009700BB">
        <w:rPr>
          <w:rFonts w:asciiTheme="minorHAnsi" w:hAnsiTheme="minorHAnsi" w:cs="Calibri"/>
        </w:rPr>
        <w:t xml:space="preserve"> means </w:t>
      </w:r>
      <w:r w:rsidR="006B446B" w:rsidRPr="009700BB">
        <w:rPr>
          <w:rFonts w:asciiTheme="minorHAnsi" w:hAnsiTheme="minorHAnsi" w:cs="Calibri"/>
        </w:rPr>
        <w:t xml:space="preserve">the </w:t>
      </w:r>
      <w:r w:rsidR="0036745E" w:rsidRPr="009700BB">
        <w:rPr>
          <w:rFonts w:asciiTheme="minorHAnsi" w:hAnsiTheme="minorHAnsi" w:cs="Calibri"/>
        </w:rPr>
        <w:t xml:space="preserve">Circular Economy </w:t>
      </w:r>
      <w:r w:rsidR="00F82BF0">
        <w:rPr>
          <w:rFonts w:asciiTheme="minorHAnsi" w:hAnsiTheme="minorHAnsi" w:cs="Calibri"/>
        </w:rPr>
        <w:t xml:space="preserve">NT </w:t>
      </w:r>
      <w:r w:rsidR="0036745E" w:rsidRPr="009700BB">
        <w:rPr>
          <w:rFonts w:asciiTheme="minorHAnsi" w:hAnsiTheme="minorHAnsi" w:cs="Calibri"/>
        </w:rPr>
        <w:t>grant program</w:t>
      </w:r>
      <w:r w:rsidR="004D4FA9" w:rsidRPr="009700BB">
        <w:rPr>
          <w:rFonts w:asciiTheme="minorHAnsi" w:hAnsiTheme="minorHAnsi" w:cs="Calibri"/>
        </w:rPr>
        <w:t xml:space="preserve">; </w:t>
      </w:r>
    </w:p>
    <w:p w14:paraId="62C56D82" w14:textId="52DA9D86" w:rsidR="00F45E37" w:rsidRPr="009700BB" w:rsidRDefault="00F45E37" w:rsidP="009700BB">
      <w:pPr>
        <w:pStyle w:val="ListParagraph"/>
        <w:autoSpaceDE w:val="0"/>
        <w:autoSpaceDN w:val="0"/>
        <w:adjustRightInd w:val="0"/>
        <w:rPr>
          <w:rFonts w:asciiTheme="minorHAnsi" w:hAnsiTheme="minorHAnsi" w:cs="Calibri"/>
        </w:rPr>
      </w:pPr>
      <w:r w:rsidRPr="009700BB">
        <w:rPr>
          <w:rFonts w:asciiTheme="minorHAnsi" w:hAnsiTheme="minorHAnsi" w:cs="Calibri"/>
          <w:b/>
          <w:bCs/>
        </w:rPr>
        <w:t>Panel</w:t>
      </w:r>
      <w:r w:rsidRPr="009700BB">
        <w:rPr>
          <w:rFonts w:asciiTheme="minorHAnsi" w:hAnsiTheme="minorHAnsi" w:cs="Calibri"/>
        </w:rPr>
        <w:t xml:space="preserve"> means </w:t>
      </w:r>
      <w:r w:rsidR="000D2506">
        <w:rPr>
          <w:rFonts w:asciiTheme="minorHAnsi" w:hAnsiTheme="minorHAnsi" w:cs="Calibri"/>
        </w:rPr>
        <w:t>the grant</w:t>
      </w:r>
      <w:r w:rsidRPr="009700BB">
        <w:rPr>
          <w:rFonts w:asciiTheme="minorHAnsi" w:hAnsiTheme="minorHAnsi" w:cs="Calibri"/>
        </w:rPr>
        <w:t xml:space="preserve"> assessment panel</w:t>
      </w:r>
      <w:r w:rsidR="00130149">
        <w:rPr>
          <w:rFonts w:asciiTheme="minorHAnsi" w:hAnsiTheme="minorHAnsi" w:cs="Calibri"/>
        </w:rPr>
        <w:t xml:space="preserve"> appointed for the purpose of </w:t>
      </w:r>
      <w:r w:rsidR="00C768B3">
        <w:rPr>
          <w:rFonts w:asciiTheme="minorHAnsi" w:hAnsiTheme="minorHAnsi" w:cs="Calibri"/>
        </w:rPr>
        <w:t>assessing applications</w:t>
      </w:r>
      <w:r w:rsidRPr="009700BB">
        <w:rPr>
          <w:rFonts w:asciiTheme="minorHAnsi" w:hAnsiTheme="minorHAnsi" w:cs="Calibri"/>
        </w:rPr>
        <w:t>.</w:t>
      </w:r>
    </w:p>
    <w:p w14:paraId="4B06F0FD" w14:textId="77777777" w:rsidR="00347EBB" w:rsidRPr="009700BB" w:rsidRDefault="00ED2A74" w:rsidP="009700BB">
      <w:pPr>
        <w:pStyle w:val="ListParagraph"/>
        <w:autoSpaceDE w:val="0"/>
        <w:autoSpaceDN w:val="0"/>
        <w:adjustRightInd w:val="0"/>
        <w:rPr>
          <w:rFonts w:asciiTheme="minorHAnsi" w:hAnsiTheme="minorHAnsi" w:cs="Calibri"/>
        </w:rPr>
      </w:pPr>
      <w:r w:rsidRPr="009700BB">
        <w:rPr>
          <w:rFonts w:asciiTheme="minorHAnsi" w:hAnsiTheme="minorHAnsi" w:cs="Calibri"/>
          <w:b/>
        </w:rPr>
        <w:t>T</w:t>
      </w:r>
      <w:r w:rsidR="00347EBB" w:rsidRPr="009700BB">
        <w:rPr>
          <w:rFonts w:asciiTheme="minorHAnsi" w:hAnsiTheme="minorHAnsi" w:cs="Calibri"/>
          <w:b/>
        </w:rPr>
        <w:t>erms and conditions</w:t>
      </w:r>
      <w:r w:rsidR="00347EBB" w:rsidRPr="009700BB">
        <w:rPr>
          <w:rFonts w:asciiTheme="minorHAnsi" w:hAnsiTheme="minorHAnsi" w:cs="Calibri"/>
        </w:rPr>
        <w:t xml:space="preserve"> refers to these </w:t>
      </w:r>
      <w:r w:rsidR="00F82BF0">
        <w:rPr>
          <w:rFonts w:asciiTheme="minorHAnsi" w:hAnsiTheme="minorHAnsi" w:cs="Calibri"/>
        </w:rPr>
        <w:t>CENT</w:t>
      </w:r>
      <w:r w:rsidR="0036745E" w:rsidRPr="009700BB">
        <w:rPr>
          <w:rFonts w:asciiTheme="minorHAnsi" w:hAnsiTheme="minorHAnsi" w:cs="Calibri"/>
        </w:rPr>
        <w:t xml:space="preserve"> grant program </w:t>
      </w:r>
      <w:r w:rsidR="00347EBB" w:rsidRPr="009700BB">
        <w:rPr>
          <w:rFonts w:asciiTheme="minorHAnsi" w:hAnsiTheme="minorHAnsi" w:cs="Calibri"/>
        </w:rPr>
        <w:t xml:space="preserve">terms and conditions, as amended from time to time;  </w:t>
      </w:r>
    </w:p>
    <w:p w14:paraId="6457EECD" w14:textId="77777777" w:rsidR="004D4FA9" w:rsidRPr="009700BB" w:rsidRDefault="00ED2A74" w:rsidP="009700BB">
      <w:pPr>
        <w:pStyle w:val="ListParagraph"/>
        <w:autoSpaceDE w:val="0"/>
        <w:autoSpaceDN w:val="0"/>
        <w:adjustRightInd w:val="0"/>
        <w:rPr>
          <w:rFonts w:asciiTheme="minorHAnsi" w:hAnsiTheme="minorHAnsi" w:cs="Calibri"/>
          <w:bCs/>
        </w:rPr>
      </w:pPr>
      <w:r w:rsidRPr="009700BB">
        <w:rPr>
          <w:rFonts w:asciiTheme="minorHAnsi" w:hAnsiTheme="minorHAnsi" w:cs="Calibri"/>
          <w:b/>
        </w:rPr>
        <w:t>T</w:t>
      </w:r>
      <w:r w:rsidR="00F90960" w:rsidRPr="009700BB">
        <w:rPr>
          <w:rFonts w:asciiTheme="minorHAnsi" w:hAnsiTheme="minorHAnsi" w:cs="Calibri"/>
          <w:b/>
        </w:rPr>
        <w:t>he Department</w:t>
      </w:r>
      <w:r w:rsidR="00F90960" w:rsidRPr="009700BB">
        <w:rPr>
          <w:rFonts w:asciiTheme="minorHAnsi" w:hAnsiTheme="minorHAnsi" w:cs="Calibri"/>
        </w:rPr>
        <w:t xml:space="preserve"> means Department of Industry, Tourism and Trade (responsible to administer</w:t>
      </w:r>
      <w:r w:rsidR="00776C45" w:rsidRPr="009700BB">
        <w:rPr>
          <w:rFonts w:asciiTheme="minorHAnsi" w:hAnsiTheme="minorHAnsi" w:cs="Calibri"/>
        </w:rPr>
        <w:t xml:space="preserve"> </w:t>
      </w:r>
      <w:r w:rsidR="0022207F" w:rsidRPr="009700BB">
        <w:rPr>
          <w:rFonts w:asciiTheme="minorHAnsi" w:hAnsiTheme="minorHAnsi" w:cs="Calibri"/>
        </w:rPr>
        <w:t>CE</w:t>
      </w:r>
      <w:r w:rsidR="00F82BF0">
        <w:rPr>
          <w:rFonts w:asciiTheme="minorHAnsi" w:hAnsiTheme="minorHAnsi" w:cs="Calibri"/>
        </w:rPr>
        <w:t>NT</w:t>
      </w:r>
      <w:r w:rsidR="00F90960" w:rsidRPr="009700BB">
        <w:rPr>
          <w:rFonts w:asciiTheme="minorHAnsi" w:hAnsiTheme="minorHAnsi" w:cs="Calibri"/>
        </w:rPr>
        <w:t xml:space="preserve"> on behalf of the Northern Territory Government)</w:t>
      </w:r>
      <w:r w:rsidR="001817B2" w:rsidRPr="009700BB">
        <w:rPr>
          <w:rFonts w:asciiTheme="minorHAnsi" w:hAnsiTheme="minorHAnsi" w:cs="Calibri"/>
        </w:rPr>
        <w:t>.</w:t>
      </w:r>
      <w:r w:rsidR="004D4FA9" w:rsidRPr="009700BB">
        <w:rPr>
          <w:rFonts w:asciiTheme="minorHAnsi" w:hAnsiTheme="minorHAnsi" w:cs="Calibri"/>
        </w:rPr>
        <w:t xml:space="preserve"> </w:t>
      </w:r>
    </w:p>
    <w:p w14:paraId="1C7126F6" w14:textId="77777777" w:rsidR="00347EBB" w:rsidRDefault="00ED2A74" w:rsidP="009700BB">
      <w:pPr>
        <w:spacing w:after="120"/>
        <w:rPr>
          <w:color w:val="FF0000"/>
        </w:rPr>
      </w:pPr>
      <w:r w:rsidRPr="009700BB">
        <w:rPr>
          <w:b/>
          <w:bCs/>
          <w:color w:val="222222"/>
        </w:rPr>
        <w:t>W</w:t>
      </w:r>
      <w:r w:rsidR="00881B1F" w:rsidRPr="009700BB">
        <w:rPr>
          <w:b/>
          <w:bCs/>
          <w:color w:val="222222"/>
        </w:rPr>
        <w:t>ebsite</w:t>
      </w:r>
      <w:r w:rsidR="00881B1F" w:rsidRPr="009700BB">
        <w:rPr>
          <w:color w:val="222222"/>
        </w:rPr>
        <w:t xml:space="preserve"> means </w:t>
      </w:r>
      <w:hyperlink r:id="rId9" w:history="1">
        <w:r w:rsidR="00F82BF0" w:rsidRPr="00093773">
          <w:rPr>
            <w:rStyle w:val="Hyperlink"/>
            <w:b/>
          </w:rPr>
          <w:t>www.nt.gov.au/</w:t>
        </w:r>
      </w:hyperlink>
      <w:r w:rsidR="00F82BF0">
        <w:rPr>
          <w:b/>
          <w:color w:val="0070C0"/>
          <w:u w:val="single"/>
        </w:rPr>
        <w:t>CENT</w:t>
      </w:r>
    </w:p>
    <w:p w14:paraId="3BF061D7" w14:textId="77777777" w:rsidR="009700BB" w:rsidRPr="009700BB" w:rsidRDefault="009700BB" w:rsidP="009700BB">
      <w:pPr>
        <w:spacing w:after="120"/>
        <w:rPr>
          <w:color w:val="FF0000"/>
        </w:rPr>
      </w:pPr>
    </w:p>
    <w:p w14:paraId="0FE650F9" w14:textId="77777777" w:rsidR="000D2506" w:rsidRDefault="000D2506">
      <w:pPr>
        <w:rPr>
          <w:rFonts w:ascii="Lato SemiBold" w:eastAsia="Times New Roman" w:hAnsi="Lato SemiBold"/>
          <w:color w:val="1F1F5F"/>
          <w:kern w:val="32"/>
          <w:sz w:val="36"/>
          <w:szCs w:val="32"/>
          <w:lang w:eastAsia="en-AU"/>
        </w:rPr>
      </w:pPr>
      <w:bookmarkStart w:id="7" w:name="_Toc146102968"/>
      <w:r>
        <w:rPr>
          <w:lang w:eastAsia="en-AU"/>
        </w:rPr>
        <w:br w:type="page"/>
      </w:r>
    </w:p>
    <w:p w14:paraId="11BD0819" w14:textId="77777777" w:rsidR="005A0741" w:rsidRPr="00A25369" w:rsidRDefault="00A36536" w:rsidP="009700BB">
      <w:pPr>
        <w:pStyle w:val="Heading1"/>
        <w:spacing w:after="120"/>
        <w:rPr>
          <w:lang w:eastAsia="en-AU"/>
        </w:rPr>
      </w:pPr>
      <w:r>
        <w:rPr>
          <w:lang w:eastAsia="en-AU"/>
        </w:rPr>
        <w:lastRenderedPageBreak/>
        <w:t xml:space="preserve">4. </w:t>
      </w:r>
      <w:r>
        <w:rPr>
          <w:lang w:eastAsia="en-AU"/>
        </w:rPr>
        <w:tab/>
      </w:r>
      <w:r w:rsidR="00E4319C">
        <w:rPr>
          <w:lang w:eastAsia="en-AU"/>
        </w:rPr>
        <w:t xml:space="preserve">Applicant and </w:t>
      </w:r>
      <w:r w:rsidR="00ED5CBB">
        <w:rPr>
          <w:lang w:eastAsia="en-AU"/>
        </w:rPr>
        <w:t xml:space="preserve">Project </w:t>
      </w:r>
      <w:r w:rsidR="00256359" w:rsidRPr="00256359">
        <w:rPr>
          <w:lang w:eastAsia="en-AU"/>
        </w:rPr>
        <w:t>Eligibility</w:t>
      </w:r>
      <w:bookmarkEnd w:id="7"/>
      <w:r w:rsidR="00256359" w:rsidRPr="00256359">
        <w:rPr>
          <w:lang w:eastAsia="en-AU"/>
        </w:rPr>
        <w:t xml:space="preserve"> </w:t>
      </w:r>
    </w:p>
    <w:p w14:paraId="1BEC5DEF" w14:textId="77777777" w:rsidR="00256359" w:rsidRPr="007B77E4" w:rsidRDefault="00A36536" w:rsidP="009700BB">
      <w:pPr>
        <w:pStyle w:val="Heading2"/>
        <w:tabs>
          <w:tab w:val="left" w:pos="567"/>
        </w:tabs>
        <w:spacing w:after="120"/>
        <w:rPr>
          <w:color w:val="1F1F5F"/>
          <w:kern w:val="32"/>
          <w:szCs w:val="32"/>
          <w:lang w:eastAsia="en-AU"/>
        </w:rPr>
      </w:pPr>
      <w:bookmarkStart w:id="8" w:name="_Toc146102969"/>
      <w:r>
        <w:rPr>
          <w:color w:val="1F1F5F"/>
          <w:kern w:val="32"/>
          <w:szCs w:val="32"/>
          <w:lang w:eastAsia="en-AU"/>
        </w:rPr>
        <w:t xml:space="preserve">4.1 </w:t>
      </w:r>
      <w:r w:rsidR="00256359" w:rsidRPr="009B013A">
        <w:rPr>
          <w:color w:val="1F1F5F"/>
          <w:kern w:val="32"/>
          <w:szCs w:val="32"/>
          <w:lang w:eastAsia="en-AU"/>
        </w:rPr>
        <w:t>Organisation eligibility</w:t>
      </w:r>
      <w:bookmarkEnd w:id="8"/>
      <w:r w:rsidR="00256359" w:rsidRPr="007B77E4">
        <w:rPr>
          <w:color w:val="1F1F5F"/>
          <w:kern w:val="32"/>
          <w:szCs w:val="32"/>
          <w:lang w:eastAsia="en-AU"/>
        </w:rPr>
        <w:t xml:space="preserve"> </w:t>
      </w:r>
    </w:p>
    <w:p w14:paraId="55DC4BCD" w14:textId="0609A528" w:rsidR="00D329F4" w:rsidRDefault="00486820" w:rsidP="0052789E">
      <w:pPr>
        <w:spacing w:after="120"/>
        <w:rPr>
          <w:szCs w:val="24"/>
          <w:lang w:eastAsia="en-AU"/>
        </w:rPr>
      </w:pPr>
      <w:r w:rsidRPr="009700BB">
        <w:rPr>
          <w:szCs w:val="24"/>
          <w:lang w:eastAsia="en-AU"/>
        </w:rPr>
        <w:t>Only an eligible organisation or a consorti</w:t>
      </w:r>
      <w:r w:rsidR="005545EA" w:rsidRPr="009700BB">
        <w:rPr>
          <w:szCs w:val="24"/>
          <w:lang w:eastAsia="en-AU"/>
        </w:rPr>
        <w:t xml:space="preserve">um of </w:t>
      </w:r>
      <w:r w:rsidR="00F82BF0">
        <w:rPr>
          <w:szCs w:val="24"/>
          <w:lang w:eastAsia="en-AU"/>
        </w:rPr>
        <w:t>eligible organisation</w:t>
      </w:r>
      <w:r w:rsidR="00C768B3">
        <w:rPr>
          <w:szCs w:val="24"/>
          <w:lang w:eastAsia="en-AU"/>
        </w:rPr>
        <w:t>s</w:t>
      </w:r>
      <w:r w:rsidR="005545EA" w:rsidRPr="009700BB">
        <w:rPr>
          <w:szCs w:val="24"/>
          <w:lang w:eastAsia="en-AU"/>
        </w:rPr>
        <w:t xml:space="preserve"> may apply.</w:t>
      </w:r>
      <w:r w:rsidR="00F13E4A" w:rsidRPr="009700BB">
        <w:rPr>
          <w:szCs w:val="24"/>
          <w:lang w:eastAsia="en-AU"/>
        </w:rPr>
        <w:t xml:space="preserve"> </w:t>
      </w:r>
    </w:p>
    <w:p w14:paraId="7F54D73A" w14:textId="77777777" w:rsidR="001E09EA" w:rsidRDefault="00F13E4A" w:rsidP="0052789E">
      <w:pPr>
        <w:spacing w:after="120"/>
        <w:rPr>
          <w:szCs w:val="24"/>
          <w:lang w:eastAsia="en-AU"/>
        </w:rPr>
      </w:pPr>
      <w:r w:rsidRPr="009700BB">
        <w:rPr>
          <w:szCs w:val="24"/>
          <w:lang w:eastAsia="en-AU"/>
        </w:rPr>
        <w:t xml:space="preserve">Where the </w:t>
      </w:r>
      <w:r w:rsidR="001E09EA" w:rsidRPr="009700BB">
        <w:rPr>
          <w:szCs w:val="24"/>
          <w:lang w:eastAsia="en-AU"/>
        </w:rPr>
        <w:t>applicati</w:t>
      </w:r>
      <w:r w:rsidR="001E09EA">
        <w:rPr>
          <w:szCs w:val="24"/>
          <w:lang w:eastAsia="en-AU"/>
        </w:rPr>
        <w:t>on</w:t>
      </w:r>
      <w:r w:rsidRPr="009700BB">
        <w:rPr>
          <w:szCs w:val="24"/>
          <w:lang w:eastAsia="en-AU"/>
        </w:rPr>
        <w:t xml:space="preserve"> is made up of two or more organisations, one </w:t>
      </w:r>
      <w:r w:rsidR="00F82BF0">
        <w:rPr>
          <w:szCs w:val="24"/>
          <w:lang w:eastAsia="en-AU"/>
        </w:rPr>
        <w:t xml:space="preserve">eligible </w:t>
      </w:r>
      <w:r w:rsidR="00BA5EC5" w:rsidRPr="009700BB">
        <w:rPr>
          <w:szCs w:val="24"/>
          <w:lang w:eastAsia="en-AU"/>
        </w:rPr>
        <w:t xml:space="preserve">organisation </w:t>
      </w:r>
      <w:r w:rsidRPr="009700BB">
        <w:rPr>
          <w:szCs w:val="24"/>
          <w:lang w:eastAsia="en-AU"/>
        </w:rPr>
        <w:t>must be the</w:t>
      </w:r>
      <w:r w:rsidR="00C5616D" w:rsidRPr="009700BB">
        <w:rPr>
          <w:szCs w:val="24"/>
          <w:lang w:eastAsia="en-AU"/>
        </w:rPr>
        <w:t xml:space="preserve"> lead applicant, and if the application is successful </w:t>
      </w:r>
      <w:r w:rsidR="00EE4971" w:rsidRPr="009700BB">
        <w:rPr>
          <w:szCs w:val="24"/>
          <w:lang w:eastAsia="en-AU"/>
        </w:rPr>
        <w:t xml:space="preserve">the </w:t>
      </w:r>
      <w:r w:rsidR="00927FC1" w:rsidRPr="009700BB">
        <w:rPr>
          <w:szCs w:val="24"/>
          <w:lang w:eastAsia="en-AU"/>
        </w:rPr>
        <w:t>f</w:t>
      </w:r>
      <w:r w:rsidR="00EE4971" w:rsidRPr="009700BB">
        <w:rPr>
          <w:szCs w:val="24"/>
          <w:lang w:eastAsia="en-AU"/>
        </w:rPr>
        <w:t xml:space="preserve">unding </w:t>
      </w:r>
      <w:r w:rsidR="00927FC1" w:rsidRPr="009700BB">
        <w:rPr>
          <w:szCs w:val="24"/>
          <w:lang w:eastAsia="en-AU"/>
        </w:rPr>
        <w:t>a</w:t>
      </w:r>
      <w:r w:rsidR="00EE4971" w:rsidRPr="009700BB">
        <w:rPr>
          <w:szCs w:val="24"/>
          <w:lang w:eastAsia="en-AU"/>
        </w:rPr>
        <w:t xml:space="preserve">greement </w:t>
      </w:r>
      <w:r w:rsidR="00BA5EC5" w:rsidRPr="009700BB">
        <w:rPr>
          <w:szCs w:val="24"/>
          <w:lang w:eastAsia="en-AU"/>
        </w:rPr>
        <w:t xml:space="preserve">shall </w:t>
      </w:r>
      <w:r w:rsidR="00DC4BFE" w:rsidRPr="009700BB">
        <w:rPr>
          <w:szCs w:val="24"/>
          <w:lang w:eastAsia="en-AU"/>
        </w:rPr>
        <w:t xml:space="preserve">be </w:t>
      </w:r>
      <w:r w:rsidR="001E09EA">
        <w:rPr>
          <w:szCs w:val="24"/>
          <w:lang w:eastAsia="en-AU"/>
        </w:rPr>
        <w:t xml:space="preserve">made between the Department and the </w:t>
      </w:r>
      <w:r w:rsidR="00BA5EC5" w:rsidRPr="009700BB">
        <w:rPr>
          <w:szCs w:val="24"/>
          <w:lang w:eastAsia="en-AU"/>
        </w:rPr>
        <w:t>lead applicant</w:t>
      </w:r>
      <w:r w:rsidR="001E09EA">
        <w:rPr>
          <w:szCs w:val="24"/>
          <w:lang w:eastAsia="en-AU"/>
        </w:rPr>
        <w:t xml:space="preserve"> only</w:t>
      </w:r>
      <w:r w:rsidR="00BA5EC5" w:rsidRPr="009700BB">
        <w:rPr>
          <w:szCs w:val="24"/>
          <w:lang w:eastAsia="en-AU"/>
        </w:rPr>
        <w:t xml:space="preserve">. </w:t>
      </w:r>
    </w:p>
    <w:p w14:paraId="74D1D184" w14:textId="77777777" w:rsidR="00D31116" w:rsidRPr="0040698F" w:rsidRDefault="00A36536" w:rsidP="009700BB">
      <w:pPr>
        <w:pStyle w:val="Heading2"/>
        <w:tabs>
          <w:tab w:val="left" w:pos="567"/>
        </w:tabs>
        <w:spacing w:after="120"/>
        <w:rPr>
          <w:color w:val="1F1F5F"/>
          <w:kern w:val="32"/>
          <w:szCs w:val="32"/>
          <w:lang w:eastAsia="en-AU"/>
        </w:rPr>
      </w:pPr>
      <w:bookmarkStart w:id="9" w:name="_Toc146102970"/>
      <w:r>
        <w:rPr>
          <w:color w:val="1F1F5F"/>
          <w:kern w:val="32"/>
          <w:szCs w:val="32"/>
          <w:lang w:eastAsia="en-AU"/>
        </w:rPr>
        <w:t xml:space="preserve">4.2 </w:t>
      </w:r>
      <w:r>
        <w:rPr>
          <w:color w:val="1F1F5F"/>
          <w:kern w:val="32"/>
          <w:szCs w:val="32"/>
          <w:lang w:eastAsia="en-AU"/>
        </w:rPr>
        <w:tab/>
      </w:r>
      <w:r w:rsidR="009A7866" w:rsidRPr="0040698F">
        <w:rPr>
          <w:color w:val="1F1F5F"/>
          <w:kern w:val="32"/>
          <w:szCs w:val="32"/>
          <w:lang w:eastAsia="en-AU"/>
        </w:rPr>
        <w:t>Eligible Projects</w:t>
      </w:r>
      <w:bookmarkEnd w:id="9"/>
    </w:p>
    <w:p w14:paraId="305FA220" w14:textId="3CB1B22F" w:rsidR="00B9385A" w:rsidRPr="009700BB" w:rsidRDefault="00D329F4" w:rsidP="009700BB">
      <w:pPr>
        <w:spacing w:after="120"/>
        <w:rPr>
          <w:rFonts w:eastAsiaTheme="minorEastAsia"/>
          <w:color w:val="222222"/>
        </w:rPr>
      </w:pPr>
      <w:r>
        <w:rPr>
          <w:rFonts w:eastAsia="Times New Roman"/>
          <w:color w:val="222222"/>
          <w:lang w:eastAsia="en-AU"/>
        </w:rPr>
        <w:t xml:space="preserve">CENT </w:t>
      </w:r>
      <w:r w:rsidR="00B9385A" w:rsidRPr="009700BB">
        <w:rPr>
          <w:rFonts w:eastAsia="Times New Roman"/>
          <w:color w:val="222222"/>
          <w:lang w:eastAsia="en-AU"/>
        </w:rPr>
        <w:t>is focused on attracting private sector investment in</w:t>
      </w:r>
      <w:r>
        <w:rPr>
          <w:rFonts w:eastAsia="Times New Roman"/>
          <w:color w:val="222222"/>
          <w:lang w:eastAsia="en-AU"/>
        </w:rPr>
        <w:t>to</w:t>
      </w:r>
      <w:r w:rsidR="00B9385A" w:rsidRPr="009700BB">
        <w:rPr>
          <w:rFonts w:eastAsia="Times New Roman"/>
          <w:color w:val="222222"/>
          <w:lang w:eastAsia="en-AU"/>
        </w:rPr>
        <w:t xml:space="preserve"> new infrastructure for </w:t>
      </w:r>
      <w:r w:rsidR="00E4319C" w:rsidRPr="009700BB">
        <w:rPr>
          <w:rFonts w:eastAsia="Times New Roman"/>
          <w:color w:val="222222"/>
          <w:lang w:eastAsia="en-AU"/>
        </w:rPr>
        <w:t xml:space="preserve">projects that </w:t>
      </w:r>
      <w:r>
        <w:rPr>
          <w:rFonts w:eastAsia="Times New Roman"/>
          <w:color w:val="222222"/>
          <w:lang w:eastAsia="en-AU"/>
        </w:rPr>
        <w:t xml:space="preserve">address the </w:t>
      </w:r>
      <w:r w:rsidR="000D2506">
        <w:rPr>
          <w:rFonts w:eastAsia="Times New Roman"/>
          <w:color w:val="222222"/>
          <w:lang w:eastAsia="en-AU"/>
        </w:rPr>
        <w:t>program o</w:t>
      </w:r>
      <w:r>
        <w:rPr>
          <w:rFonts w:eastAsia="Times New Roman"/>
          <w:color w:val="222222"/>
          <w:lang w:eastAsia="en-AU"/>
        </w:rPr>
        <w:t>utcome</w:t>
      </w:r>
      <w:r w:rsidR="004A29E0">
        <w:rPr>
          <w:rFonts w:eastAsia="Times New Roman"/>
          <w:color w:val="222222"/>
          <w:lang w:eastAsia="en-AU"/>
        </w:rPr>
        <w:t>s listed above</w:t>
      </w:r>
      <w:r w:rsidR="000D2506">
        <w:rPr>
          <w:rFonts w:eastAsia="Times New Roman"/>
          <w:color w:val="222222"/>
          <w:lang w:eastAsia="en-AU"/>
        </w:rPr>
        <w:t xml:space="preserve"> (section 3)</w:t>
      </w:r>
      <w:r w:rsidR="004A29E0">
        <w:rPr>
          <w:rFonts w:eastAsia="Times New Roman"/>
          <w:color w:val="222222"/>
          <w:lang w:eastAsia="en-AU"/>
        </w:rPr>
        <w:t>.</w:t>
      </w:r>
    </w:p>
    <w:p w14:paraId="00B620ED" w14:textId="751E1FAE" w:rsidR="0036745E" w:rsidRPr="009700BB" w:rsidRDefault="00E4319C" w:rsidP="00E44BCC">
      <w:pPr>
        <w:spacing w:after="120"/>
        <w:rPr>
          <w:rFonts w:eastAsia="Times New Roman"/>
          <w:color w:val="222222"/>
          <w:lang w:eastAsia="en-AU"/>
        </w:rPr>
      </w:pPr>
      <w:r w:rsidRPr="009700BB">
        <w:rPr>
          <w:rFonts w:eastAsia="Times New Roman"/>
          <w:color w:val="222222"/>
          <w:lang w:eastAsia="en-AU"/>
        </w:rPr>
        <w:t>Projects likely to receive favo</w:t>
      </w:r>
      <w:r w:rsidR="00CF088B" w:rsidRPr="009700BB">
        <w:rPr>
          <w:rFonts w:eastAsia="Times New Roman"/>
          <w:color w:val="222222"/>
          <w:lang w:eastAsia="en-AU"/>
        </w:rPr>
        <w:t>u</w:t>
      </w:r>
      <w:r w:rsidRPr="009700BB">
        <w:rPr>
          <w:rFonts w:eastAsia="Times New Roman"/>
          <w:color w:val="222222"/>
          <w:lang w:eastAsia="en-AU"/>
        </w:rPr>
        <w:t>rable consideration will</w:t>
      </w:r>
      <w:r w:rsidR="00B9385A" w:rsidRPr="009700BB">
        <w:rPr>
          <w:rFonts w:eastAsia="Times New Roman"/>
          <w:color w:val="222222"/>
          <w:lang w:eastAsia="en-AU"/>
        </w:rPr>
        <w:t xml:space="preserve"> facilitate waste avoidance</w:t>
      </w:r>
      <w:r w:rsidR="00A46CDF">
        <w:rPr>
          <w:rFonts w:eastAsia="Times New Roman"/>
          <w:color w:val="222222"/>
          <w:lang w:eastAsia="en-AU"/>
        </w:rPr>
        <w:t xml:space="preserve"> and</w:t>
      </w:r>
      <w:r w:rsidR="00B9385A" w:rsidRPr="009700BB">
        <w:rPr>
          <w:rFonts w:eastAsia="Times New Roman"/>
          <w:color w:val="222222"/>
          <w:lang w:eastAsia="en-AU"/>
        </w:rPr>
        <w:t xml:space="preserve"> landfill diversion (including stockpile diversion/reduction) </w:t>
      </w:r>
      <w:r w:rsidR="00A46CDF">
        <w:rPr>
          <w:rFonts w:eastAsia="Times New Roman"/>
          <w:color w:val="222222"/>
          <w:lang w:eastAsia="en-AU"/>
        </w:rPr>
        <w:t xml:space="preserve">through </w:t>
      </w:r>
      <w:r w:rsidR="00B9385A" w:rsidRPr="009700BB">
        <w:rPr>
          <w:rFonts w:eastAsia="Times New Roman"/>
          <w:color w:val="222222"/>
          <w:lang w:eastAsia="en-AU"/>
        </w:rPr>
        <w:t xml:space="preserve">recycling activities. </w:t>
      </w:r>
    </w:p>
    <w:p w14:paraId="6619DBC4" w14:textId="77777777" w:rsidR="00B9385A" w:rsidRDefault="00B9385A" w:rsidP="009700BB">
      <w:pPr>
        <w:spacing w:after="120"/>
        <w:rPr>
          <w:rFonts w:eastAsia="Times New Roman"/>
          <w:color w:val="222222"/>
          <w:lang w:eastAsia="en-AU"/>
        </w:rPr>
      </w:pPr>
      <w:r w:rsidRPr="009700BB">
        <w:rPr>
          <w:rFonts w:eastAsia="Times New Roman"/>
          <w:color w:val="222222"/>
          <w:lang w:eastAsia="en-AU"/>
        </w:rPr>
        <w:t>Projects should create economic development opportunities and build a stronger onshore recycling industry through developing new domestic markets for recycled materials</w:t>
      </w:r>
      <w:r w:rsidR="00880123" w:rsidRPr="009700BB">
        <w:rPr>
          <w:rFonts w:eastAsia="Times New Roman"/>
          <w:color w:val="222222"/>
          <w:lang w:eastAsia="en-AU"/>
        </w:rPr>
        <w:t xml:space="preserve"> or new products</w:t>
      </w:r>
      <w:r w:rsidR="008106A8" w:rsidRPr="009700BB">
        <w:rPr>
          <w:rFonts w:eastAsia="Times New Roman"/>
          <w:color w:val="222222"/>
          <w:lang w:eastAsia="en-AU"/>
        </w:rPr>
        <w:t xml:space="preserve"> made from recycled materials</w:t>
      </w:r>
      <w:r w:rsidR="006B446B" w:rsidRPr="009700BB">
        <w:rPr>
          <w:rFonts w:eastAsia="Times New Roman"/>
          <w:color w:val="222222"/>
          <w:lang w:eastAsia="en-AU"/>
        </w:rPr>
        <w:t>.</w:t>
      </w:r>
      <w:r w:rsidRPr="009700BB">
        <w:rPr>
          <w:rFonts w:eastAsia="Times New Roman"/>
          <w:color w:val="222222"/>
          <w:lang w:eastAsia="en-AU"/>
        </w:rPr>
        <w:t xml:space="preserve"> </w:t>
      </w:r>
    </w:p>
    <w:p w14:paraId="695A8BA1" w14:textId="77777777" w:rsidR="003B149D" w:rsidRPr="009700BB" w:rsidRDefault="003B149D" w:rsidP="009700BB">
      <w:pPr>
        <w:spacing w:after="0"/>
        <w:rPr>
          <w:rFonts w:ascii="Calibri" w:hAnsi="Calibri" w:cs="Calibri"/>
          <w:color w:val="FF0000"/>
        </w:rPr>
      </w:pPr>
    </w:p>
    <w:p w14:paraId="51ABA10A" w14:textId="77777777" w:rsidR="00A56749" w:rsidRPr="009700BB" w:rsidRDefault="00A56749" w:rsidP="009700BB">
      <w:pPr>
        <w:spacing w:after="120"/>
        <w:rPr>
          <w:rFonts w:eastAsia="Times New Roman"/>
          <w:color w:val="222222"/>
          <w:lang w:eastAsia="en-AU"/>
        </w:rPr>
      </w:pPr>
      <w:r w:rsidRPr="009700BB">
        <w:rPr>
          <w:rFonts w:eastAsia="Times New Roman"/>
          <w:color w:val="222222"/>
          <w:lang w:eastAsia="en-AU"/>
        </w:rPr>
        <w:t xml:space="preserve">A </w:t>
      </w:r>
      <w:r w:rsidR="00E4319C" w:rsidRPr="009700BB">
        <w:rPr>
          <w:rFonts w:eastAsia="Times New Roman"/>
          <w:color w:val="222222"/>
          <w:lang w:eastAsia="en-AU"/>
        </w:rPr>
        <w:t xml:space="preserve">proposed </w:t>
      </w:r>
      <w:r w:rsidRPr="009700BB">
        <w:rPr>
          <w:rFonts w:eastAsia="Times New Roman"/>
          <w:color w:val="222222"/>
          <w:lang w:eastAsia="en-AU"/>
        </w:rPr>
        <w:t xml:space="preserve">project </w:t>
      </w:r>
      <w:r w:rsidRPr="009700BB">
        <w:rPr>
          <w:rFonts w:eastAsia="Times New Roman"/>
          <w:b/>
          <w:color w:val="222222"/>
          <w:lang w:eastAsia="en-AU"/>
        </w:rPr>
        <w:t>must</w:t>
      </w:r>
      <w:r w:rsidRPr="009700BB">
        <w:rPr>
          <w:rFonts w:eastAsia="Times New Roman"/>
          <w:color w:val="222222"/>
          <w:lang w:eastAsia="en-AU"/>
        </w:rPr>
        <w:t xml:space="preserve"> meet </w:t>
      </w:r>
      <w:r w:rsidRPr="009700BB">
        <w:rPr>
          <w:rFonts w:eastAsia="Times New Roman"/>
          <w:b/>
          <w:bCs/>
          <w:color w:val="222222"/>
          <w:lang w:eastAsia="en-AU"/>
        </w:rPr>
        <w:t>all</w:t>
      </w:r>
      <w:r w:rsidRPr="009700BB">
        <w:rPr>
          <w:rFonts w:eastAsia="Times New Roman"/>
          <w:color w:val="222222"/>
          <w:lang w:eastAsia="en-AU"/>
        </w:rPr>
        <w:t xml:space="preserve"> of the following criteria:</w:t>
      </w:r>
    </w:p>
    <w:p w14:paraId="404DD8A5" w14:textId="1CDD1861" w:rsidR="00A56749" w:rsidRPr="009700BB" w:rsidRDefault="006B79DC" w:rsidP="009700BB">
      <w:pPr>
        <w:numPr>
          <w:ilvl w:val="0"/>
          <w:numId w:val="22"/>
        </w:numPr>
        <w:tabs>
          <w:tab w:val="clear" w:pos="720"/>
          <w:tab w:val="num" w:pos="709"/>
        </w:tabs>
        <w:spacing w:after="120"/>
        <w:ind w:hanging="436"/>
        <w:rPr>
          <w:rFonts w:eastAsia="Times New Roman"/>
          <w:color w:val="222222"/>
          <w:lang w:eastAsia="en-AU"/>
        </w:rPr>
      </w:pPr>
      <w:r>
        <w:rPr>
          <w:rFonts w:eastAsia="Times New Roman"/>
          <w:color w:val="222222"/>
          <w:lang w:eastAsia="en-AU"/>
        </w:rPr>
        <w:t xml:space="preserve">The main </w:t>
      </w:r>
      <w:r w:rsidR="00A46CDF">
        <w:rPr>
          <w:rFonts w:eastAsia="Times New Roman"/>
          <w:color w:val="222222"/>
          <w:lang w:eastAsia="en-AU"/>
        </w:rPr>
        <w:t>recycling infrastructure and o</w:t>
      </w:r>
      <w:r w:rsidR="00E4319C" w:rsidRPr="009700BB">
        <w:rPr>
          <w:rFonts w:eastAsia="Times New Roman"/>
          <w:color w:val="222222"/>
          <w:lang w:eastAsia="en-AU"/>
        </w:rPr>
        <w:t>perations</w:t>
      </w:r>
      <w:r w:rsidR="00A91443" w:rsidRPr="009700BB">
        <w:rPr>
          <w:rFonts w:eastAsia="Times New Roman"/>
          <w:color w:val="222222"/>
          <w:lang w:eastAsia="en-AU"/>
        </w:rPr>
        <w:t xml:space="preserve"> </w:t>
      </w:r>
      <w:r w:rsidR="008F0DE5">
        <w:rPr>
          <w:rFonts w:eastAsia="Times New Roman"/>
          <w:color w:val="222222"/>
          <w:lang w:eastAsia="en-AU"/>
        </w:rPr>
        <w:t xml:space="preserve">is </w:t>
      </w:r>
      <w:r w:rsidR="00A91443" w:rsidRPr="009700BB">
        <w:rPr>
          <w:rFonts w:eastAsia="Times New Roman"/>
          <w:color w:val="222222"/>
          <w:lang w:eastAsia="en-AU"/>
        </w:rPr>
        <w:t>to</w:t>
      </w:r>
      <w:r w:rsidR="00E4319C" w:rsidRPr="009700BB">
        <w:rPr>
          <w:rFonts w:eastAsia="Times New Roman"/>
          <w:color w:val="222222"/>
          <w:lang w:eastAsia="en-AU"/>
        </w:rPr>
        <w:t xml:space="preserve"> </w:t>
      </w:r>
      <w:r w:rsidR="00A56749" w:rsidRPr="009700BB">
        <w:rPr>
          <w:rFonts w:eastAsia="Times New Roman"/>
          <w:color w:val="222222"/>
          <w:lang w:eastAsia="en-AU"/>
        </w:rPr>
        <w:t>be located</w:t>
      </w:r>
      <w:r w:rsidR="00E4319C" w:rsidRPr="009700BB">
        <w:rPr>
          <w:rFonts w:eastAsia="Times New Roman"/>
          <w:color w:val="222222"/>
          <w:lang w:eastAsia="en-AU"/>
        </w:rPr>
        <w:t xml:space="preserve"> wholly</w:t>
      </w:r>
      <w:r w:rsidR="00A56749" w:rsidRPr="009700BB">
        <w:rPr>
          <w:rFonts w:eastAsia="Times New Roman"/>
          <w:color w:val="222222"/>
          <w:lang w:eastAsia="en-AU"/>
        </w:rPr>
        <w:t xml:space="preserve"> in the Territory</w:t>
      </w:r>
      <w:r w:rsidR="001155E6">
        <w:rPr>
          <w:rFonts w:eastAsia="Times New Roman"/>
          <w:color w:val="222222"/>
          <w:lang w:eastAsia="en-AU"/>
        </w:rPr>
        <w:t xml:space="preserve"> </w:t>
      </w:r>
      <w:r w:rsidR="008F0DE5">
        <w:rPr>
          <w:rFonts w:eastAsia="Times New Roman"/>
          <w:color w:val="222222"/>
          <w:lang w:eastAsia="en-AU"/>
        </w:rPr>
        <w:t>and must continue to be operated in the Territory for a period of at least five (5) years from the date on which it becomes operational.</w:t>
      </w:r>
    </w:p>
    <w:p w14:paraId="057D0DE2" w14:textId="1020F130" w:rsidR="00A56749" w:rsidRPr="009700BB" w:rsidRDefault="006B79DC" w:rsidP="009700BB">
      <w:pPr>
        <w:numPr>
          <w:ilvl w:val="0"/>
          <w:numId w:val="22"/>
        </w:numPr>
        <w:tabs>
          <w:tab w:val="clear" w:pos="720"/>
          <w:tab w:val="num" w:pos="709"/>
        </w:tabs>
        <w:spacing w:after="120"/>
        <w:ind w:hanging="436"/>
        <w:rPr>
          <w:rFonts w:eastAsia="Times New Roman"/>
          <w:color w:val="222222"/>
          <w:lang w:eastAsia="en-AU"/>
        </w:rPr>
      </w:pPr>
      <w:r>
        <w:rPr>
          <w:rFonts w:eastAsia="Times New Roman"/>
          <w:color w:val="222222"/>
          <w:lang w:eastAsia="en-AU"/>
        </w:rPr>
        <w:t xml:space="preserve">Develops a solution that deals with </w:t>
      </w:r>
      <w:r w:rsidR="00C633E4" w:rsidRPr="009700BB">
        <w:rPr>
          <w:rFonts w:eastAsia="Times New Roman"/>
          <w:color w:val="222222"/>
          <w:lang w:eastAsia="en-AU"/>
        </w:rPr>
        <w:t xml:space="preserve">waste </w:t>
      </w:r>
      <w:r w:rsidR="0036745E" w:rsidRPr="009700BB">
        <w:rPr>
          <w:rFonts w:eastAsia="Times New Roman"/>
          <w:color w:val="222222"/>
          <w:lang w:eastAsia="en-AU"/>
        </w:rPr>
        <w:t xml:space="preserve">materials generated in </w:t>
      </w:r>
      <w:r>
        <w:rPr>
          <w:rFonts w:eastAsia="Times New Roman"/>
          <w:color w:val="222222"/>
          <w:lang w:eastAsia="en-AU"/>
        </w:rPr>
        <w:t xml:space="preserve">the </w:t>
      </w:r>
      <w:r w:rsidR="00D329F4" w:rsidRPr="009700BB">
        <w:rPr>
          <w:rFonts w:eastAsia="Times New Roman"/>
          <w:color w:val="222222"/>
          <w:lang w:eastAsia="en-AU"/>
        </w:rPr>
        <w:t>Territory</w:t>
      </w:r>
      <w:r w:rsidR="00D329F4">
        <w:rPr>
          <w:rFonts w:eastAsia="Times New Roman"/>
          <w:color w:val="222222"/>
          <w:lang w:eastAsia="en-AU"/>
        </w:rPr>
        <w:t xml:space="preserve"> </w:t>
      </w:r>
      <w:r w:rsidR="00C633E4" w:rsidRPr="009700BB">
        <w:rPr>
          <w:rFonts w:eastAsia="Times New Roman"/>
          <w:color w:val="222222"/>
          <w:lang w:eastAsia="en-AU"/>
        </w:rPr>
        <w:t>that are currently being landfilled or recovered to low value outlets</w:t>
      </w:r>
    </w:p>
    <w:p w14:paraId="298A45B5" w14:textId="77777777" w:rsidR="000C6D20" w:rsidRPr="009700BB" w:rsidRDefault="00ED2A74" w:rsidP="009700BB">
      <w:pPr>
        <w:numPr>
          <w:ilvl w:val="0"/>
          <w:numId w:val="22"/>
        </w:numPr>
        <w:tabs>
          <w:tab w:val="clear" w:pos="720"/>
          <w:tab w:val="num" w:pos="709"/>
        </w:tabs>
        <w:spacing w:after="120"/>
        <w:ind w:hanging="436"/>
        <w:rPr>
          <w:rFonts w:eastAsia="Times New Roman"/>
          <w:lang w:eastAsia="en-AU"/>
        </w:rPr>
      </w:pPr>
      <w:r w:rsidRPr="009700BB">
        <w:rPr>
          <w:rFonts w:eastAsia="Times New Roman"/>
          <w:color w:val="222222"/>
          <w:lang w:eastAsia="en-AU"/>
        </w:rPr>
        <w:t>I</w:t>
      </w:r>
      <w:r w:rsidR="00870776" w:rsidRPr="009700BB">
        <w:rPr>
          <w:rFonts w:eastAsia="Times New Roman"/>
          <w:color w:val="222222"/>
          <w:lang w:eastAsia="en-AU"/>
        </w:rPr>
        <w:t>ncrease</w:t>
      </w:r>
      <w:r w:rsidR="006B79DC">
        <w:rPr>
          <w:rFonts w:eastAsia="Times New Roman"/>
          <w:color w:val="222222"/>
          <w:lang w:eastAsia="en-AU"/>
        </w:rPr>
        <w:t>s</w:t>
      </w:r>
      <w:r w:rsidR="00870776" w:rsidRPr="009700BB">
        <w:rPr>
          <w:rFonts w:eastAsia="Times New Roman"/>
          <w:color w:val="222222"/>
          <w:lang w:eastAsia="en-AU"/>
        </w:rPr>
        <w:t xml:space="preserve"> the capacity for domestic </w:t>
      </w:r>
      <w:r w:rsidR="000C6D20" w:rsidRPr="009700BB">
        <w:rPr>
          <w:rFonts w:eastAsia="Times New Roman"/>
          <w:color w:val="222222"/>
          <w:lang w:eastAsia="en-AU"/>
        </w:rPr>
        <w:t>recycling</w:t>
      </w:r>
      <w:r w:rsidR="00CC69C4" w:rsidRPr="009700BB">
        <w:rPr>
          <w:rFonts w:eastAsia="Times New Roman"/>
          <w:color w:val="222222"/>
          <w:lang w:eastAsia="en-AU"/>
        </w:rPr>
        <w:t>, reuse</w:t>
      </w:r>
      <w:r w:rsidR="000C6D20" w:rsidRPr="009700BB">
        <w:rPr>
          <w:rFonts w:eastAsia="Times New Roman"/>
          <w:color w:val="222222"/>
          <w:lang w:eastAsia="en-AU"/>
        </w:rPr>
        <w:t xml:space="preserve"> and</w:t>
      </w:r>
      <w:r w:rsidR="00CC69C4" w:rsidRPr="009700BB">
        <w:rPr>
          <w:rFonts w:eastAsia="Times New Roman"/>
          <w:color w:val="222222"/>
          <w:lang w:eastAsia="en-AU"/>
        </w:rPr>
        <w:t>/or</w:t>
      </w:r>
      <w:r w:rsidR="000C6D20" w:rsidRPr="009700BB">
        <w:rPr>
          <w:rFonts w:eastAsia="Times New Roman"/>
          <w:color w:val="222222"/>
          <w:lang w:eastAsia="en-AU"/>
        </w:rPr>
        <w:t xml:space="preserve"> remanufacturing of materials </w:t>
      </w:r>
    </w:p>
    <w:p w14:paraId="38A109D8" w14:textId="77777777" w:rsidR="000C6D20" w:rsidRPr="009700BB" w:rsidRDefault="00ED2A74" w:rsidP="009700BB">
      <w:pPr>
        <w:numPr>
          <w:ilvl w:val="0"/>
          <w:numId w:val="22"/>
        </w:numPr>
        <w:tabs>
          <w:tab w:val="clear" w:pos="720"/>
          <w:tab w:val="num" w:pos="709"/>
        </w:tabs>
        <w:spacing w:after="120"/>
        <w:ind w:hanging="436"/>
        <w:rPr>
          <w:rFonts w:eastAsia="Times New Roman"/>
          <w:lang w:eastAsia="en-AU"/>
        </w:rPr>
      </w:pPr>
      <w:r w:rsidRPr="009700BB">
        <w:rPr>
          <w:rFonts w:eastAsia="Times New Roman"/>
          <w:color w:val="222222"/>
          <w:lang w:eastAsia="en-AU"/>
        </w:rPr>
        <w:t>D</w:t>
      </w:r>
      <w:r w:rsidR="00870776" w:rsidRPr="009700BB">
        <w:rPr>
          <w:rFonts w:eastAsia="Times New Roman"/>
          <w:color w:val="222222"/>
          <w:lang w:eastAsia="en-AU"/>
        </w:rPr>
        <w:t>eliver</w:t>
      </w:r>
      <w:r w:rsidR="006B79DC">
        <w:rPr>
          <w:rFonts w:eastAsia="Times New Roman"/>
          <w:color w:val="222222"/>
          <w:lang w:eastAsia="en-AU"/>
        </w:rPr>
        <w:t>s</w:t>
      </w:r>
      <w:r w:rsidR="00870776" w:rsidRPr="009700BB">
        <w:rPr>
          <w:rFonts w:eastAsia="Times New Roman"/>
          <w:color w:val="222222"/>
          <w:lang w:eastAsia="en-AU"/>
        </w:rPr>
        <w:t xml:space="preserve"> new or improved resource recovery</w:t>
      </w:r>
      <w:r w:rsidR="00CC69C4" w:rsidRPr="009700BB">
        <w:rPr>
          <w:rFonts w:eastAsia="Times New Roman"/>
          <w:color w:val="222222"/>
          <w:lang w:eastAsia="en-AU"/>
        </w:rPr>
        <w:t>, recycling and remanufacturing</w:t>
      </w:r>
      <w:r w:rsidR="00870776" w:rsidRPr="009700BB">
        <w:rPr>
          <w:rFonts w:eastAsia="Times New Roman"/>
          <w:color w:val="222222"/>
          <w:lang w:eastAsia="en-AU"/>
        </w:rPr>
        <w:t xml:space="preserve"> infrastructure</w:t>
      </w:r>
      <w:r w:rsidR="000C6D20" w:rsidRPr="009700BB">
        <w:rPr>
          <w:rFonts w:ascii="Calibri" w:hAnsi="Calibri" w:cs="Calibri"/>
          <w:color w:val="FF0000"/>
        </w:rPr>
        <w:t xml:space="preserve"> </w:t>
      </w:r>
    </w:p>
    <w:p w14:paraId="15037C30" w14:textId="77777777" w:rsidR="00CC69C4" w:rsidRPr="009700BB" w:rsidRDefault="00ED2A74" w:rsidP="009700BB">
      <w:pPr>
        <w:numPr>
          <w:ilvl w:val="0"/>
          <w:numId w:val="22"/>
        </w:numPr>
        <w:tabs>
          <w:tab w:val="clear" w:pos="720"/>
          <w:tab w:val="num" w:pos="709"/>
        </w:tabs>
        <w:spacing w:after="120"/>
        <w:ind w:hanging="436"/>
        <w:rPr>
          <w:rFonts w:eastAsia="Times New Roman"/>
          <w:color w:val="222222"/>
          <w:lang w:eastAsia="en-AU"/>
        </w:rPr>
      </w:pPr>
      <w:r w:rsidRPr="009700BB">
        <w:rPr>
          <w:rFonts w:eastAsia="Times New Roman"/>
          <w:color w:val="222222"/>
          <w:lang w:eastAsia="en-AU"/>
        </w:rPr>
        <w:t>D</w:t>
      </w:r>
      <w:r w:rsidR="00CC69C4" w:rsidRPr="009700BB">
        <w:rPr>
          <w:rFonts w:eastAsia="Times New Roman"/>
          <w:color w:val="222222"/>
          <w:lang w:eastAsia="en-AU"/>
        </w:rPr>
        <w:t>emonstrate</w:t>
      </w:r>
      <w:r w:rsidR="006B79DC">
        <w:rPr>
          <w:rFonts w:eastAsia="Times New Roman"/>
          <w:color w:val="222222"/>
          <w:lang w:eastAsia="en-AU"/>
        </w:rPr>
        <w:t>s</w:t>
      </w:r>
      <w:r w:rsidR="00CC69C4" w:rsidRPr="009700BB">
        <w:rPr>
          <w:rFonts w:eastAsia="Times New Roman"/>
          <w:color w:val="222222"/>
          <w:lang w:eastAsia="en-AU"/>
        </w:rPr>
        <w:t xml:space="preserve"> a long term return (minimum 5 years) on investment to the </w:t>
      </w:r>
      <w:r w:rsidR="00D329F4">
        <w:rPr>
          <w:rFonts w:eastAsia="Times New Roman"/>
          <w:color w:val="222222"/>
          <w:lang w:eastAsia="en-AU"/>
        </w:rPr>
        <w:t>Territory</w:t>
      </w:r>
      <w:r w:rsidR="00CC69C4" w:rsidRPr="009700BB">
        <w:rPr>
          <w:rFonts w:eastAsia="Times New Roman"/>
          <w:color w:val="222222"/>
          <w:lang w:eastAsia="en-AU"/>
        </w:rPr>
        <w:t xml:space="preserve"> in improving recycling, reproces</w:t>
      </w:r>
      <w:r w:rsidR="00927FC1" w:rsidRPr="009700BB">
        <w:rPr>
          <w:rFonts w:eastAsia="Times New Roman"/>
          <w:color w:val="222222"/>
          <w:lang w:eastAsia="en-AU"/>
        </w:rPr>
        <w:t xml:space="preserve">sing and/or remanufacturing </w:t>
      </w:r>
    </w:p>
    <w:p w14:paraId="41BFF350" w14:textId="77777777" w:rsidR="00927FC1" w:rsidRPr="00A46CDF" w:rsidRDefault="00ED2A74" w:rsidP="009700BB">
      <w:pPr>
        <w:numPr>
          <w:ilvl w:val="0"/>
          <w:numId w:val="22"/>
        </w:numPr>
        <w:tabs>
          <w:tab w:val="clear" w:pos="720"/>
          <w:tab w:val="num" w:pos="709"/>
        </w:tabs>
        <w:spacing w:after="120"/>
        <w:ind w:hanging="436"/>
        <w:rPr>
          <w:rFonts w:eastAsia="Times New Roman"/>
          <w:lang w:eastAsia="en-AU"/>
        </w:rPr>
      </w:pPr>
      <w:r w:rsidRPr="009700BB">
        <w:rPr>
          <w:rFonts w:eastAsia="Times New Roman"/>
          <w:color w:val="222222"/>
          <w:lang w:eastAsia="en-AU"/>
        </w:rPr>
        <w:t>B</w:t>
      </w:r>
      <w:r w:rsidR="00927FC1" w:rsidRPr="009700BB">
        <w:rPr>
          <w:rFonts w:eastAsia="Times New Roman"/>
          <w:color w:val="222222"/>
          <w:lang w:eastAsia="en-AU"/>
        </w:rPr>
        <w:t xml:space="preserve">e completed and operational </w:t>
      </w:r>
      <w:r w:rsidR="00927FC1" w:rsidRPr="00A46CDF">
        <w:rPr>
          <w:rFonts w:eastAsia="Times New Roman"/>
          <w:lang w:eastAsia="en-AU"/>
        </w:rPr>
        <w:t>by 30 June 202</w:t>
      </w:r>
      <w:r w:rsidR="003B1B1D" w:rsidRPr="00A46CDF">
        <w:rPr>
          <w:rFonts w:eastAsia="Times New Roman"/>
          <w:lang w:eastAsia="en-AU"/>
        </w:rPr>
        <w:t>5</w:t>
      </w:r>
      <w:r w:rsidR="00927FC1" w:rsidRPr="00A46CDF">
        <w:rPr>
          <w:rFonts w:eastAsia="Times New Roman"/>
          <w:lang w:eastAsia="en-AU"/>
        </w:rPr>
        <w:t>.</w:t>
      </w:r>
    </w:p>
    <w:p w14:paraId="7BE60E8A" w14:textId="77777777" w:rsidR="00A56749" w:rsidRPr="009700BB" w:rsidRDefault="00A56749" w:rsidP="009700BB">
      <w:pPr>
        <w:spacing w:after="0"/>
        <w:rPr>
          <w:rFonts w:eastAsia="Times New Roman"/>
          <w:color w:val="222222"/>
          <w:lang w:eastAsia="en-AU"/>
        </w:rPr>
      </w:pPr>
    </w:p>
    <w:p w14:paraId="43C8B31A" w14:textId="77777777" w:rsidR="005B73F8" w:rsidRPr="009700BB" w:rsidRDefault="005B73F8" w:rsidP="009700BB">
      <w:pPr>
        <w:autoSpaceDE w:val="0"/>
        <w:autoSpaceDN w:val="0"/>
        <w:adjustRightInd w:val="0"/>
        <w:spacing w:after="120"/>
        <w:rPr>
          <w:rFonts w:cs="Calibri"/>
        </w:rPr>
      </w:pPr>
      <w:r w:rsidRPr="009700BB">
        <w:rPr>
          <w:rFonts w:cs="Calibri"/>
        </w:rPr>
        <w:t xml:space="preserve">The following </w:t>
      </w:r>
      <w:r w:rsidR="00E4319C" w:rsidRPr="009700BB">
        <w:rPr>
          <w:rFonts w:cs="Calibri"/>
        </w:rPr>
        <w:t xml:space="preserve">proposed </w:t>
      </w:r>
      <w:r w:rsidRPr="009700BB">
        <w:rPr>
          <w:rFonts w:cs="Calibri"/>
        </w:rPr>
        <w:t xml:space="preserve">projects </w:t>
      </w:r>
      <w:r w:rsidRPr="009700BB">
        <w:rPr>
          <w:rFonts w:cs="Calibri-Bold"/>
          <w:b/>
          <w:bCs/>
        </w:rPr>
        <w:t xml:space="preserve">will not </w:t>
      </w:r>
      <w:r w:rsidRPr="009700BB">
        <w:rPr>
          <w:rFonts w:cs="Calibri"/>
        </w:rPr>
        <w:t>be considered:</w:t>
      </w:r>
    </w:p>
    <w:p w14:paraId="058BC6BD" w14:textId="77777777" w:rsidR="00331548" w:rsidRPr="009700BB" w:rsidRDefault="00ED2A74" w:rsidP="009700BB">
      <w:pPr>
        <w:pStyle w:val="ListParagraph"/>
        <w:numPr>
          <w:ilvl w:val="0"/>
          <w:numId w:val="23"/>
        </w:numPr>
        <w:autoSpaceDE w:val="0"/>
        <w:autoSpaceDN w:val="0"/>
        <w:adjustRightInd w:val="0"/>
        <w:ind w:hanging="436"/>
        <w:rPr>
          <w:rFonts w:cs="Calibri"/>
        </w:rPr>
      </w:pPr>
      <w:r w:rsidRPr="009700BB">
        <w:rPr>
          <w:color w:val="222222"/>
        </w:rPr>
        <w:t>E</w:t>
      </w:r>
      <w:r w:rsidR="00EE2DED" w:rsidRPr="009700BB">
        <w:rPr>
          <w:color w:val="222222"/>
        </w:rPr>
        <w:t xml:space="preserve">nergy-from-waste projects </w:t>
      </w:r>
    </w:p>
    <w:p w14:paraId="5E53EF6A" w14:textId="77777777" w:rsidR="00331548" w:rsidRPr="009700BB" w:rsidRDefault="00ED2A74" w:rsidP="009700BB">
      <w:pPr>
        <w:pStyle w:val="ListParagraph"/>
        <w:numPr>
          <w:ilvl w:val="0"/>
          <w:numId w:val="23"/>
        </w:numPr>
        <w:autoSpaceDE w:val="0"/>
        <w:autoSpaceDN w:val="0"/>
        <w:adjustRightInd w:val="0"/>
        <w:ind w:hanging="436"/>
        <w:rPr>
          <w:rFonts w:cs="Calibri"/>
        </w:rPr>
      </w:pPr>
      <w:r w:rsidRPr="009700BB">
        <w:rPr>
          <w:rFonts w:cs="Calibri"/>
        </w:rPr>
        <w:t>L</w:t>
      </w:r>
      <w:r w:rsidR="00331548" w:rsidRPr="009700BB">
        <w:rPr>
          <w:rFonts w:cs="Calibri"/>
        </w:rPr>
        <w:t>andfill projects - construction of new landfills or landfill cells, im</w:t>
      </w:r>
      <w:r w:rsidR="00932BF8">
        <w:rPr>
          <w:rFonts w:cs="Calibri"/>
        </w:rPr>
        <w:t>provement of existing landfills</w:t>
      </w:r>
      <w:r w:rsidR="00331548" w:rsidRPr="009700BB">
        <w:rPr>
          <w:rFonts w:cs="Calibri"/>
        </w:rPr>
        <w:t>, new landfill equipment, capping of landfills or rehabilitation of legacy landfills</w:t>
      </w:r>
    </w:p>
    <w:p w14:paraId="55149C89" w14:textId="77777777" w:rsidR="00CC69C4" w:rsidRPr="009700BB" w:rsidRDefault="00ED2A74" w:rsidP="009700BB">
      <w:pPr>
        <w:pStyle w:val="ListParagraph"/>
        <w:numPr>
          <w:ilvl w:val="0"/>
          <w:numId w:val="23"/>
        </w:numPr>
        <w:autoSpaceDE w:val="0"/>
        <w:autoSpaceDN w:val="0"/>
        <w:adjustRightInd w:val="0"/>
        <w:ind w:hanging="436"/>
        <w:rPr>
          <w:rFonts w:cs="Calibri"/>
        </w:rPr>
      </w:pPr>
      <w:r w:rsidRPr="009700BB">
        <w:rPr>
          <w:rFonts w:cs="Calibri"/>
        </w:rPr>
        <w:t>P</w:t>
      </w:r>
      <w:r w:rsidR="00CC69C4" w:rsidRPr="009700BB">
        <w:rPr>
          <w:rFonts w:cs="Calibri"/>
        </w:rPr>
        <w:t xml:space="preserve">rojects which result in wastes stored for </w:t>
      </w:r>
      <w:r w:rsidR="0078358E" w:rsidRPr="009700BB">
        <w:rPr>
          <w:rFonts w:cs="Calibri"/>
        </w:rPr>
        <w:t xml:space="preserve">greater than 2 years </w:t>
      </w:r>
      <w:r w:rsidR="00CC69C4" w:rsidRPr="009700BB">
        <w:rPr>
          <w:rFonts w:cs="Calibri"/>
        </w:rPr>
        <w:t xml:space="preserve">without an end-use </w:t>
      </w:r>
    </w:p>
    <w:p w14:paraId="12C6043F" w14:textId="77777777" w:rsidR="004A5B06" w:rsidRPr="009700BB" w:rsidRDefault="00ED2A74" w:rsidP="009700BB">
      <w:pPr>
        <w:pStyle w:val="ListParagraph"/>
        <w:numPr>
          <w:ilvl w:val="0"/>
          <w:numId w:val="23"/>
        </w:numPr>
        <w:autoSpaceDE w:val="0"/>
        <w:autoSpaceDN w:val="0"/>
        <w:adjustRightInd w:val="0"/>
        <w:ind w:hanging="436"/>
        <w:rPr>
          <w:rFonts w:cs="Calibri"/>
        </w:rPr>
      </w:pPr>
      <w:r w:rsidRPr="009700BB">
        <w:rPr>
          <w:rFonts w:cs="Calibri"/>
        </w:rPr>
        <w:t>P</w:t>
      </w:r>
      <w:r w:rsidR="004A5B06" w:rsidRPr="009700BB">
        <w:rPr>
          <w:rFonts w:cs="Calibri"/>
        </w:rPr>
        <w:t>rojects that have already commenced or are planned to commence regardless of financial support from government, for example:</w:t>
      </w:r>
    </w:p>
    <w:p w14:paraId="519D9B82" w14:textId="77777777" w:rsidR="004A5B06" w:rsidRPr="009700BB" w:rsidRDefault="004A5B06" w:rsidP="009700BB">
      <w:pPr>
        <w:pStyle w:val="ListParagraph"/>
        <w:numPr>
          <w:ilvl w:val="0"/>
          <w:numId w:val="9"/>
        </w:numPr>
        <w:autoSpaceDE w:val="0"/>
        <w:autoSpaceDN w:val="0"/>
        <w:adjustRightInd w:val="0"/>
        <w:ind w:left="993" w:hanging="284"/>
        <w:rPr>
          <w:rFonts w:cs="Calibri"/>
        </w:rPr>
      </w:pPr>
      <w:r w:rsidRPr="009700BB">
        <w:rPr>
          <w:rFonts w:cs="Calibri"/>
        </w:rPr>
        <w:t>your organisation is already contracted to provide the resource recovery infrastructure or service that is proposed, or to supply the recovered resources that are proposed to be produced by the project</w:t>
      </w:r>
    </w:p>
    <w:p w14:paraId="2663B407" w14:textId="77777777" w:rsidR="004A5B06" w:rsidRPr="009700BB" w:rsidRDefault="004A5B06" w:rsidP="009700BB">
      <w:pPr>
        <w:pStyle w:val="ListParagraph"/>
        <w:numPr>
          <w:ilvl w:val="0"/>
          <w:numId w:val="9"/>
        </w:numPr>
        <w:autoSpaceDE w:val="0"/>
        <w:autoSpaceDN w:val="0"/>
        <w:adjustRightInd w:val="0"/>
        <w:ind w:left="993" w:hanging="284"/>
        <w:rPr>
          <w:rFonts w:cs="Calibri"/>
        </w:rPr>
      </w:pPr>
      <w:r w:rsidRPr="009700BB">
        <w:rPr>
          <w:rFonts w:cs="Calibri"/>
        </w:rPr>
        <w:t>funding has been approved and committed to the project regardless of the financial incentive</w:t>
      </w:r>
      <w:r w:rsidR="00D1192B" w:rsidRPr="009700BB">
        <w:rPr>
          <w:rFonts w:cs="Calibri"/>
        </w:rPr>
        <w:t xml:space="preserve"> offered under the </w:t>
      </w:r>
      <w:r w:rsidR="00932BF8">
        <w:rPr>
          <w:rFonts w:cs="Calibri"/>
        </w:rPr>
        <w:t>CENT</w:t>
      </w:r>
    </w:p>
    <w:p w14:paraId="59FE364D" w14:textId="77777777" w:rsidR="004A5B06" w:rsidRPr="009700BB" w:rsidRDefault="004A5B06" w:rsidP="009700BB">
      <w:pPr>
        <w:pStyle w:val="ListParagraph"/>
        <w:numPr>
          <w:ilvl w:val="0"/>
          <w:numId w:val="9"/>
        </w:numPr>
        <w:autoSpaceDE w:val="0"/>
        <w:autoSpaceDN w:val="0"/>
        <w:adjustRightInd w:val="0"/>
        <w:ind w:left="993" w:hanging="284"/>
        <w:rPr>
          <w:rFonts w:cs="Calibri"/>
        </w:rPr>
      </w:pPr>
      <w:r w:rsidRPr="009700BB">
        <w:rPr>
          <w:rFonts w:cs="Calibri"/>
        </w:rPr>
        <w:lastRenderedPageBreak/>
        <w:t>construction has commenced or contracts have been executed for supply / construction of the facility</w:t>
      </w:r>
    </w:p>
    <w:p w14:paraId="087605F0" w14:textId="77777777" w:rsidR="004A5B06" w:rsidRPr="009700BB" w:rsidRDefault="00ED2A74" w:rsidP="009700BB">
      <w:pPr>
        <w:pStyle w:val="ListParagraph"/>
        <w:numPr>
          <w:ilvl w:val="0"/>
          <w:numId w:val="24"/>
        </w:numPr>
        <w:autoSpaceDE w:val="0"/>
        <w:autoSpaceDN w:val="0"/>
        <w:adjustRightInd w:val="0"/>
        <w:ind w:hanging="436"/>
        <w:rPr>
          <w:rFonts w:cs="Calibri"/>
        </w:rPr>
      </w:pPr>
      <w:r w:rsidRPr="009700BB">
        <w:rPr>
          <w:rFonts w:cs="Calibri"/>
        </w:rPr>
        <w:t>P</w:t>
      </w:r>
      <w:r w:rsidR="004A5B06" w:rsidRPr="009700BB">
        <w:rPr>
          <w:rFonts w:cs="Calibri"/>
        </w:rPr>
        <w:t>rojects not directly resulting in new infrastructure investment, for example education and behaviour change programs, market development, strategy development, and feasibility studies</w:t>
      </w:r>
    </w:p>
    <w:p w14:paraId="32CE731F" w14:textId="77777777" w:rsidR="0000475D" w:rsidRPr="009700BB" w:rsidRDefault="00ED2A74" w:rsidP="009700BB">
      <w:pPr>
        <w:numPr>
          <w:ilvl w:val="0"/>
          <w:numId w:val="24"/>
        </w:numPr>
        <w:spacing w:after="120"/>
        <w:ind w:hanging="436"/>
        <w:rPr>
          <w:color w:val="222222"/>
        </w:rPr>
      </w:pPr>
      <w:r w:rsidRPr="009700BB">
        <w:rPr>
          <w:color w:val="222222"/>
        </w:rPr>
        <w:t>P</w:t>
      </w:r>
      <w:r w:rsidR="00EE2DED" w:rsidRPr="009700BB">
        <w:rPr>
          <w:color w:val="222222"/>
        </w:rPr>
        <w:t>rojects that have received</w:t>
      </w:r>
      <w:r w:rsidR="002474F2">
        <w:rPr>
          <w:color w:val="222222"/>
        </w:rPr>
        <w:t xml:space="preserve"> </w:t>
      </w:r>
      <w:r w:rsidR="00F9629A" w:rsidRPr="009700BB">
        <w:rPr>
          <w:color w:val="222222"/>
        </w:rPr>
        <w:t>T</w:t>
      </w:r>
      <w:r w:rsidR="008E3799" w:rsidRPr="009700BB">
        <w:rPr>
          <w:color w:val="222222"/>
        </w:rPr>
        <w:t xml:space="preserve">erritory </w:t>
      </w:r>
      <w:r w:rsidR="00F9629A" w:rsidRPr="009700BB">
        <w:rPr>
          <w:color w:val="222222"/>
        </w:rPr>
        <w:t>G</w:t>
      </w:r>
      <w:r w:rsidR="008E3799" w:rsidRPr="009700BB">
        <w:rPr>
          <w:color w:val="222222"/>
        </w:rPr>
        <w:t xml:space="preserve">overnment </w:t>
      </w:r>
      <w:r w:rsidR="00EE2DED" w:rsidRPr="009700BB">
        <w:rPr>
          <w:color w:val="222222"/>
        </w:rPr>
        <w:t>funding or support for the same activities from other sources</w:t>
      </w:r>
      <w:r w:rsidR="005B4F36" w:rsidRPr="009700BB">
        <w:rPr>
          <w:color w:val="222222"/>
        </w:rPr>
        <w:t xml:space="preserve"> </w:t>
      </w:r>
    </w:p>
    <w:p w14:paraId="3523492C" w14:textId="77777777" w:rsidR="0000475D" w:rsidRPr="00646134" w:rsidRDefault="00ED2A74" w:rsidP="00A80916">
      <w:pPr>
        <w:numPr>
          <w:ilvl w:val="0"/>
          <w:numId w:val="24"/>
        </w:numPr>
        <w:spacing w:after="120"/>
        <w:ind w:hanging="436"/>
        <w:rPr>
          <w:color w:val="222222"/>
          <w:szCs w:val="24"/>
        </w:rPr>
      </w:pPr>
      <w:r w:rsidRPr="00646134">
        <w:rPr>
          <w:color w:val="222222"/>
          <w:szCs w:val="24"/>
        </w:rPr>
        <w:t>R</w:t>
      </w:r>
      <w:r w:rsidR="00EE2DED" w:rsidRPr="00646134">
        <w:rPr>
          <w:color w:val="222222"/>
          <w:szCs w:val="24"/>
        </w:rPr>
        <w:t>equests for retrospective funding, where the project has commenced</w:t>
      </w:r>
      <w:r w:rsidR="008E3799" w:rsidRPr="00646134">
        <w:rPr>
          <w:color w:val="222222"/>
          <w:szCs w:val="24"/>
        </w:rPr>
        <w:t xml:space="preserve"> / committed to</w:t>
      </w:r>
      <w:r w:rsidR="00EE2DED" w:rsidRPr="00646134">
        <w:rPr>
          <w:color w:val="222222"/>
          <w:szCs w:val="24"/>
        </w:rPr>
        <w:t xml:space="preserve"> or </w:t>
      </w:r>
      <w:r w:rsidR="001322B1" w:rsidRPr="00646134">
        <w:rPr>
          <w:color w:val="222222"/>
          <w:szCs w:val="24"/>
        </w:rPr>
        <w:t xml:space="preserve">been </w:t>
      </w:r>
      <w:r w:rsidR="00EE2DED" w:rsidRPr="00646134">
        <w:rPr>
          <w:color w:val="222222"/>
          <w:szCs w:val="24"/>
        </w:rPr>
        <w:t>completed before signing a funding agreement</w:t>
      </w:r>
    </w:p>
    <w:p w14:paraId="03577E0F" w14:textId="77777777" w:rsidR="00B9385A" w:rsidRPr="00A36536" w:rsidRDefault="00A36536" w:rsidP="0040698F">
      <w:pPr>
        <w:pStyle w:val="Heading2"/>
        <w:tabs>
          <w:tab w:val="left" w:pos="567"/>
        </w:tabs>
        <w:rPr>
          <w:color w:val="1F1F5F"/>
          <w:kern w:val="32"/>
          <w:szCs w:val="32"/>
          <w:lang w:eastAsia="en-AU"/>
        </w:rPr>
      </w:pPr>
      <w:bookmarkStart w:id="10" w:name="_Toc146102971"/>
      <w:r>
        <w:rPr>
          <w:color w:val="1F1F5F"/>
          <w:kern w:val="32"/>
          <w:szCs w:val="32"/>
          <w:lang w:eastAsia="en-AU"/>
        </w:rPr>
        <w:t xml:space="preserve">4.3 </w:t>
      </w:r>
      <w:r>
        <w:rPr>
          <w:color w:val="1F1F5F"/>
          <w:kern w:val="32"/>
          <w:szCs w:val="32"/>
          <w:lang w:eastAsia="en-AU"/>
        </w:rPr>
        <w:tab/>
      </w:r>
      <w:r w:rsidR="00A17E91" w:rsidRPr="00A36536">
        <w:rPr>
          <w:color w:val="1F1F5F"/>
          <w:kern w:val="32"/>
          <w:szCs w:val="32"/>
          <w:lang w:eastAsia="en-AU"/>
        </w:rPr>
        <w:t>Eligible project costs</w:t>
      </w:r>
      <w:bookmarkEnd w:id="10"/>
      <w:r w:rsidR="001B7017" w:rsidRPr="00A36536">
        <w:rPr>
          <w:color w:val="1F1F5F"/>
          <w:kern w:val="32"/>
          <w:szCs w:val="32"/>
          <w:lang w:eastAsia="en-AU"/>
        </w:rPr>
        <w:t xml:space="preserve"> </w:t>
      </w:r>
    </w:p>
    <w:p w14:paraId="4E8BAA3D" w14:textId="7C70A2FA" w:rsidR="00A31103" w:rsidRPr="009700BB" w:rsidRDefault="00A31103" w:rsidP="009700BB">
      <w:pPr>
        <w:autoSpaceDE w:val="0"/>
        <w:autoSpaceDN w:val="0"/>
        <w:adjustRightInd w:val="0"/>
        <w:spacing w:after="120"/>
        <w:rPr>
          <w:rFonts w:asciiTheme="minorHAnsi" w:hAnsiTheme="minorHAnsi" w:cs="Calibri"/>
          <w:color w:val="FF0000"/>
        </w:rPr>
      </w:pPr>
      <w:r w:rsidRPr="009700BB">
        <w:rPr>
          <w:rFonts w:asciiTheme="minorHAnsi" w:hAnsiTheme="minorHAnsi" w:cs="Calibri"/>
        </w:rPr>
        <w:t xml:space="preserve">The applicant is encouraged to demonstrate that local suppliers and contractors will be engaged in accordance with the </w:t>
      </w:r>
      <w:hyperlink r:id="rId10" w:history="1">
        <w:r w:rsidR="005C7A51" w:rsidRPr="00D70E35">
          <w:rPr>
            <w:rStyle w:val="Hyperlink"/>
            <w:rFonts w:asciiTheme="minorHAnsi" w:hAnsiTheme="minorHAnsi" w:cs="Calibri"/>
            <w:b/>
            <w:color w:val="auto"/>
          </w:rPr>
          <w:t>Buy Local Plan</w:t>
        </w:r>
      </w:hyperlink>
      <w:r w:rsidR="007A6DE3" w:rsidRPr="009700BB">
        <w:rPr>
          <w:rFonts w:asciiTheme="minorHAnsi" w:hAnsiTheme="minorHAnsi" w:cs="Calibri"/>
        </w:rPr>
        <w:t xml:space="preserve"> of the Territory</w:t>
      </w:r>
      <w:r w:rsidR="005C7A51" w:rsidRPr="009700BB">
        <w:rPr>
          <w:rFonts w:asciiTheme="minorHAnsi" w:hAnsiTheme="minorHAnsi" w:cs="Calibri"/>
        </w:rPr>
        <w:t xml:space="preserve"> Government</w:t>
      </w:r>
      <w:r w:rsidRPr="009700BB">
        <w:rPr>
          <w:rFonts w:asciiTheme="minorHAnsi" w:hAnsiTheme="minorHAnsi" w:cs="Calibri"/>
        </w:rPr>
        <w:t xml:space="preserve">. Where significant expenditure outside of </w:t>
      </w:r>
      <w:r w:rsidR="005C7A51" w:rsidRPr="009700BB">
        <w:rPr>
          <w:rFonts w:asciiTheme="minorHAnsi" w:hAnsiTheme="minorHAnsi" w:cs="Calibri"/>
        </w:rPr>
        <w:t>the Territory</w:t>
      </w:r>
      <w:r w:rsidRPr="009700BB">
        <w:rPr>
          <w:rFonts w:asciiTheme="minorHAnsi" w:hAnsiTheme="minorHAnsi" w:cs="Calibri"/>
        </w:rPr>
        <w:t xml:space="preserve"> is required and unavoidable (e.g. purchase of specialised equipment not available in </w:t>
      </w:r>
      <w:r w:rsidR="005C7A51" w:rsidRPr="009700BB">
        <w:rPr>
          <w:rFonts w:asciiTheme="minorHAnsi" w:hAnsiTheme="minorHAnsi" w:cs="Calibri"/>
        </w:rPr>
        <w:t>the Territory</w:t>
      </w:r>
      <w:r w:rsidRPr="009700BB">
        <w:rPr>
          <w:rFonts w:asciiTheme="minorHAnsi" w:hAnsiTheme="minorHAnsi" w:cs="Calibri"/>
        </w:rPr>
        <w:t xml:space="preserve">), this should be identified and explained in the application. </w:t>
      </w:r>
      <w:r w:rsidR="00844B43" w:rsidRPr="009700BB">
        <w:rPr>
          <w:rFonts w:asciiTheme="minorHAnsi" w:hAnsiTheme="minorHAnsi" w:cs="Calibri"/>
        </w:rPr>
        <w:t xml:space="preserve">It is mandatory to seek </w:t>
      </w:r>
      <w:r w:rsidR="006B6897" w:rsidRPr="009700BB">
        <w:rPr>
          <w:rFonts w:asciiTheme="minorHAnsi" w:hAnsiTheme="minorHAnsi" w:cs="Calibri"/>
        </w:rPr>
        <w:t xml:space="preserve">confirmation </w:t>
      </w:r>
      <w:r w:rsidR="00844B43" w:rsidRPr="009700BB">
        <w:rPr>
          <w:rFonts w:asciiTheme="minorHAnsi" w:hAnsiTheme="minorHAnsi" w:cs="Calibri"/>
        </w:rPr>
        <w:t xml:space="preserve">from </w:t>
      </w:r>
      <w:r w:rsidR="00F75D7E" w:rsidRPr="009700BB">
        <w:rPr>
          <w:rFonts w:asciiTheme="minorHAnsi" w:hAnsiTheme="minorHAnsi" w:cs="Calibri"/>
        </w:rPr>
        <w:t xml:space="preserve">Industry Capability </w:t>
      </w:r>
      <w:r w:rsidR="00F9629A" w:rsidRPr="009700BB">
        <w:rPr>
          <w:rFonts w:asciiTheme="minorHAnsi" w:hAnsiTheme="minorHAnsi" w:cs="Calibri"/>
        </w:rPr>
        <w:t>Network</w:t>
      </w:r>
      <w:r w:rsidR="00F75D7E" w:rsidRPr="009700BB">
        <w:rPr>
          <w:rFonts w:asciiTheme="minorHAnsi" w:hAnsiTheme="minorHAnsi" w:cs="Calibri"/>
        </w:rPr>
        <w:t>, Northern Territory (</w:t>
      </w:r>
      <w:r w:rsidR="00844B43" w:rsidRPr="009700BB">
        <w:rPr>
          <w:rFonts w:asciiTheme="minorHAnsi" w:hAnsiTheme="minorHAnsi" w:cs="Calibri"/>
        </w:rPr>
        <w:t>ICN</w:t>
      </w:r>
      <w:r w:rsidR="000D2506">
        <w:rPr>
          <w:rFonts w:asciiTheme="minorHAnsi" w:hAnsiTheme="minorHAnsi" w:cs="Calibri"/>
        </w:rPr>
        <w:t xml:space="preserve"> </w:t>
      </w:r>
      <w:r w:rsidR="00844B43" w:rsidRPr="009700BB">
        <w:rPr>
          <w:rFonts w:asciiTheme="minorHAnsi" w:hAnsiTheme="minorHAnsi" w:cs="Calibri"/>
        </w:rPr>
        <w:t>NT</w:t>
      </w:r>
      <w:r w:rsidR="00F75D7E" w:rsidRPr="009700BB">
        <w:rPr>
          <w:rFonts w:asciiTheme="minorHAnsi" w:hAnsiTheme="minorHAnsi" w:cs="Calibri"/>
        </w:rPr>
        <w:t>)</w:t>
      </w:r>
      <w:r w:rsidR="00844B43" w:rsidRPr="009700BB">
        <w:rPr>
          <w:rFonts w:asciiTheme="minorHAnsi" w:hAnsiTheme="minorHAnsi" w:cs="Calibri"/>
        </w:rPr>
        <w:t xml:space="preserve"> for interstate or international procurement and </w:t>
      </w:r>
      <w:r w:rsidR="000E5517" w:rsidRPr="009700BB">
        <w:rPr>
          <w:rFonts w:asciiTheme="minorHAnsi" w:hAnsiTheme="minorHAnsi" w:cs="Calibri"/>
        </w:rPr>
        <w:t xml:space="preserve">the </w:t>
      </w:r>
      <w:r w:rsidR="006B6897" w:rsidRPr="009700BB">
        <w:rPr>
          <w:rFonts w:asciiTheme="minorHAnsi" w:hAnsiTheme="minorHAnsi" w:cs="Calibri"/>
        </w:rPr>
        <w:t xml:space="preserve">confirmation </w:t>
      </w:r>
      <w:r w:rsidR="00D1192B" w:rsidRPr="009700BB">
        <w:rPr>
          <w:rFonts w:asciiTheme="minorHAnsi" w:hAnsiTheme="minorHAnsi" w:cs="Calibri"/>
        </w:rPr>
        <w:t>must be uploaded as part of</w:t>
      </w:r>
      <w:r w:rsidR="00844B43" w:rsidRPr="009700BB">
        <w:rPr>
          <w:rFonts w:asciiTheme="minorHAnsi" w:hAnsiTheme="minorHAnsi" w:cs="Calibri"/>
        </w:rPr>
        <w:t xml:space="preserve"> the application.</w:t>
      </w:r>
    </w:p>
    <w:p w14:paraId="5F0EC71E" w14:textId="77777777" w:rsidR="00A31103" w:rsidRPr="009700BB" w:rsidRDefault="00A31103" w:rsidP="009700BB">
      <w:pPr>
        <w:autoSpaceDE w:val="0"/>
        <w:autoSpaceDN w:val="0"/>
        <w:adjustRightInd w:val="0"/>
        <w:spacing w:after="120"/>
        <w:rPr>
          <w:rFonts w:asciiTheme="minorHAnsi" w:hAnsiTheme="minorHAnsi" w:cs="Calibri"/>
        </w:rPr>
      </w:pPr>
      <w:r w:rsidRPr="009700BB">
        <w:rPr>
          <w:rFonts w:asciiTheme="minorHAnsi" w:hAnsiTheme="minorHAnsi" w:cs="Calibri"/>
        </w:rPr>
        <w:t xml:space="preserve">Eligible project costs must be </w:t>
      </w:r>
      <w:r w:rsidR="00D1192B" w:rsidRPr="009700BB">
        <w:rPr>
          <w:rFonts w:asciiTheme="minorHAnsi" w:hAnsiTheme="minorHAnsi" w:cs="Calibri"/>
        </w:rPr>
        <w:t xml:space="preserve">in </w:t>
      </w:r>
      <w:r w:rsidRPr="009700BB">
        <w:rPr>
          <w:rFonts w:asciiTheme="minorHAnsi" w:hAnsiTheme="minorHAnsi" w:cs="Calibri"/>
        </w:rPr>
        <w:t>auditable</w:t>
      </w:r>
      <w:r w:rsidR="00D1192B" w:rsidRPr="009700BB">
        <w:rPr>
          <w:rFonts w:asciiTheme="minorHAnsi" w:hAnsiTheme="minorHAnsi" w:cs="Calibri"/>
        </w:rPr>
        <w:t xml:space="preserve"> form</w:t>
      </w:r>
      <w:r w:rsidRPr="009700BB">
        <w:rPr>
          <w:rFonts w:asciiTheme="minorHAnsi" w:hAnsiTheme="minorHAnsi" w:cs="Calibri"/>
        </w:rPr>
        <w:t xml:space="preserve"> and must be capital costs for project specific investments such as for new, upgraded or expanded resource recovery facilities, large-scale technologies or for the purchase and installation of fixed plant and equipment required to fully commission new infrastructure. </w:t>
      </w:r>
    </w:p>
    <w:p w14:paraId="54F9A563" w14:textId="77777777" w:rsidR="00A31103" w:rsidRPr="009700BB" w:rsidRDefault="00A31103" w:rsidP="009700BB">
      <w:pPr>
        <w:autoSpaceDE w:val="0"/>
        <w:autoSpaceDN w:val="0"/>
        <w:adjustRightInd w:val="0"/>
        <w:spacing w:after="120"/>
        <w:rPr>
          <w:rFonts w:asciiTheme="minorHAnsi" w:hAnsiTheme="minorHAnsi" w:cs="Calibri"/>
        </w:rPr>
      </w:pPr>
      <w:r w:rsidRPr="009700BB">
        <w:rPr>
          <w:rFonts w:asciiTheme="minorHAnsi" w:hAnsiTheme="minorHAnsi" w:cs="Calibri"/>
        </w:rPr>
        <w:t xml:space="preserve">The following items </w:t>
      </w:r>
      <w:r w:rsidRPr="009700BB">
        <w:rPr>
          <w:rFonts w:asciiTheme="minorHAnsi" w:hAnsiTheme="minorHAnsi" w:cs="Calibri"/>
          <w:b/>
          <w:bCs/>
        </w:rPr>
        <w:t xml:space="preserve">will not be funded </w:t>
      </w:r>
      <w:r w:rsidRPr="009700BB">
        <w:rPr>
          <w:rFonts w:asciiTheme="minorHAnsi" w:hAnsiTheme="minorHAnsi" w:cs="Calibri"/>
        </w:rPr>
        <w:t xml:space="preserve">and should be excluded from the estimate of eligible project costs for co-funding: </w:t>
      </w:r>
    </w:p>
    <w:p w14:paraId="084A987E" w14:textId="77777777" w:rsidR="00A31103" w:rsidRPr="009700BB" w:rsidRDefault="0078358E" w:rsidP="009700BB">
      <w:pPr>
        <w:pStyle w:val="ListParagraph"/>
        <w:numPr>
          <w:ilvl w:val="0"/>
          <w:numId w:val="25"/>
        </w:numPr>
        <w:autoSpaceDE w:val="0"/>
        <w:autoSpaceDN w:val="0"/>
        <w:adjustRightInd w:val="0"/>
        <w:ind w:hanging="436"/>
        <w:rPr>
          <w:rFonts w:asciiTheme="minorHAnsi" w:hAnsiTheme="minorHAnsi" w:cs="Calibri"/>
        </w:rPr>
      </w:pPr>
      <w:r w:rsidRPr="009700BB">
        <w:rPr>
          <w:rFonts w:asciiTheme="minorHAnsi" w:hAnsiTheme="minorHAnsi" w:cs="Calibri"/>
        </w:rPr>
        <w:t>P</w:t>
      </w:r>
      <w:r w:rsidR="00A31103" w:rsidRPr="009700BB">
        <w:rPr>
          <w:rFonts w:asciiTheme="minorHAnsi" w:hAnsiTheme="minorHAnsi" w:cs="Calibri"/>
        </w:rPr>
        <w:t>roject development costs such as options analys</w:t>
      </w:r>
      <w:r w:rsidR="009A4CAD" w:rsidRPr="009700BB">
        <w:rPr>
          <w:rFonts w:asciiTheme="minorHAnsi" w:hAnsiTheme="minorHAnsi" w:cs="Calibri"/>
        </w:rPr>
        <w:t>e</w:t>
      </w:r>
      <w:r w:rsidR="00A31103" w:rsidRPr="009700BB">
        <w:rPr>
          <w:rFonts w:asciiTheme="minorHAnsi" w:hAnsiTheme="minorHAnsi" w:cs="Calibri"/>
        </w:rPr>
        <w:t xml:space="preserve">s, feasibility studies, application development and due diligence </w:t>
      </w:r>
    </w:p>
    <w:p w14:paraId="30C8BEDD" w14:textId="77777777" w:rsidR="00A31103" w:rsidRPr="009700BB" w:rsidRDefault="0078358E" w:rsidP="009700BB">
      <w:pPr>
        <w:pStyle w:val="ListParagraph"/>
        <w:numPr>
          <w:ilvl w:val="0"/>
          <w:numId w:val="25"/>
        </w:numPr>
        <w:autoSpaceDE w:val="0"/>
        <w:autoSpaceDN w:val="0"/>
        <w:adjustRightInd w:val="0"/>
        <w:ind w:hanging="436"/>
        <w:rPr>
          <w:rFonts w:asciiTheme="minorHAnsi" w:hAnsiTheme="minorHAnsi" w:cs="Calibri"/>
        </w:rPr>
      </w:pPr>
      <w:r w:rsidRPr="009700BB">
        <w:rPr>
          <w:rFonts w:asciiTheme="minorHAnsi" w:hAnsiTheme="minorHAnsi" w:cs="Calibri"/>
        </w:rPr>
        <w:t>L</w:t>
      </w:r>
      <w:r w:rsidR="00A31103" w:rsidRPr="009700BB">
        <w:rPr>
          <w:rFonts w:asciiTheme="minorHAnsi" w:hAnsiTheme="minorHAnsi" w:cs="Calibri"/>
        </w:rPr>
        <w:t xml:space="preserve">egal costs </w:t>
      </w:r>
    </w:p>
    <w:p w14:paraId="204EFAC1" w14:textId="42786DB1" w:rsidR="00A31103" w:rsidRPr="009700BB" w:rsidRDefault="0078358E" w:rsidP="009700BB">
      <w:pPr>
        <w:pStyle w:val="ListParagraph"/>
        <w:numPr>
          <w:ilvl w:val="0"/>
          <w:numId w:val="25"/>
        </w:numPr>
        <w:autoSpaceDE w:val="0"/>
        <w:autoSpaceDN w:val="0"/>
        <w:adjustRightInd w:val="0"/>
        <w:ind w:hanging="436"/>
        <w:rPr>
          <w:rFonts w:asciiTheme="minorHAnsi" w:hAnsiTheme="minorHAnsi" w:cs="Calibri"/>
        </w:rPr>
      </w:pPr>
      <w:r w:rsidRPr="009700BB">
        <w:rPr>
          <w:rFonts w:asciiTheme="minorHAnsi" w:hAnsiTheme="minorHAnsi" w:cs="Calibri"/>
        </w:rPr>
        <w:t>A</w:t>
      </w:r>
      <w:r w:rsidR="00A31103" w:rsidRPr="009700BB">
        <w:rPr>
          <w:rFonts w:asciiTheme="minorHAnsi" w:hAnsiTheme="minorHAnsi" w:cs="Calibri"/>
        </w:rPr>
        <w:t xml:space="preserve">ny expenditure incurred prior to the project commencement date </w:t>
      </w:r>
    </w:p>
    <w:p w14:paraId="10F6891F" w14:textId="77777777" w:rsidR="00A31103" w:rsidRPr="009700BB" w:rsidRDefault="0078358E" w:rsidP="009700BB">
      <w:pPr>
        <w:pStyle w:val="ListParagraph"/>
        <w:numPr>
          <w:ilvl w:val="0"/>
          <w:numId w:val="25"/>
        </w:numPr>
        <w:autoSpaceDE w:val="0"/>
        <w:autoSpaceDN w:val="0"/>
        <w:adjustRightInd w:val="0"/>
        <w:ind w:hanging="436"/>
        <w:rPr>
          <w:rFonts w:asciiTheme="minorHAnsi" w:hAnsiTheme="minorHAnsi" w:cs="Calibri"/>
        </w:rPr>
      </w:pPr>
      <w:r w:rsidRPr="009700BB">
        <w:rPr>
          <w:rFonts w:asciiTheme="minorHAnsi" w:hAnsiTheme="minorHAnsi" w:cs="Calibri"/>
        </w:rPr>
        <w:t>D</w:t>
      </w:r>
      <w:r w:rsidR="00A31103" w:rsidRPr="009700BB">
        <w:rPr>
          <w:rFonts w:asciiTheme="minorHAnsi" w:hAnsiTheme="minorHAnsi" w:cs="Calibri"/>
        </w:rPr>
        <w:t xml:space="preserve">evelopment approvals and environmental licence application costs, including any impact assessment studies that may be required </w:t>
      </w:r>
    </w:p>
    <w:p w14:paraId="5CF716EB" w14:textId="77777777" w:rsidR="00A31103" w:rsidRPr="009700BB" w:rsidRDefault="0078358E" w:rsidP="009700BB">
      <w:pPr>
        <w:pStyle w:val="ListParagraph"/>
        <w:numPr>
          <w:ilvl w:val="0"/>
          <w:numId w:val="25"/>
        </w:numPr>
        <w:autoSpaceDE w:val="0"/>
        <w:autoSpaceDN w:val="0"/>
        <w:adjustRightInd w:val="0"/>
        <w:ind w:hanging="436"/>
        <w:rPr>
          <w:rFonts w:asciiTheme="minorHAnsi" w:hAnsiTheme="minorHAnsi" w:cs="Calibri"/>
        </w:rPr>
      </w:pPr>
      <w:r w:rsidRPr="009700BB">
        <w:rPr>
          <w:rFonts w:asciiTheme="minorHAnsi" w:hAnsiTheme="minorHAnsi" w:cs="Calibri"/>
        </w:rPr>
        <w:t>C</w:t>
      </w:r>
      <w:r w:rsidR="00A31103" w:rsidRPr="009700BB">
        <w:rPr>
          <w:rFonts w:asciiTheme="minorHAnsi" w:hAnsiTheme="minorHAnsi" w:cs="Calibri"/>
        </w:rPr>
        <w:t xml:space="preserve">ompliance with regulation and licence conditions costs </w:t>
      </w:r>
    </w:p>
    <w:p w14:paraId="0E37191B" w14:textId="77777777" w:rsidR="00A31103" w:rsidRPr="009700BB" w:rsidRDefault="0078358E" w:rsidP="009700BB">
      <w:pPr>
        <w:pStyle w:val="ListParagraph"/>
        <w:numPr>
          <w:ilvl w:val="0"/>
          <w:numId w:val="25"/>
        </w:numPr>
        <w:autoSpaceDE w:val="0"/>
        <w:autoSpaceDN w:val="0"/>
        <w:adjustRightInd w:val="0"/>
        <w:ind w:hanging="436"/>
        <w:rPr>
          <w:rFonts w:asciiTheme="minorHAnsi" w:hAnsiTheme="minorHAnsi" w:cs="Calibri"/>
        </w:rPr>
      </w:pPr>
      <w:r w:rsidRPr="009700BB">
        <w:rPr>
          <w:rFonts w:asciiTheme="minorHAnsi" w:hAnsiTheme="minorHAnsi" w:cs="Calibri"/>
        </w:rPr>
        <w:t>C</w:t>
      </w:r>
      <w:r w:rsidR="00A31103" w:rsidRPr="009700BB">
        <w:rPr>
          <w:rFonts w:asciiTheme="minorHAnsi" w:hAnsiTheme="minorHAnsi" w:cs="Calibri"/>
        </w:rPr>
        <w:t xml:space="preserve">ivil works outside the direct project site such as road and drainage upgrades </w:t>
      </w:r>
    </w:p>
    <w:p w14:paraId="72CACB37" w14:textId="77777777" w:rsidR="00A31103" w:rsidRPr="009700BB" w:rsidRDefault="0078358E" w:rsidP="009700BB">
      <w:pPr>
        <w:pStyle w:val="ListParagraph"/>
        <w:numPr>
          <w:ilvl w:val="0"/>
          <w:numId w:val="25"/>
        </w:numPr>
        <w:autoSpaceDE w:val="0"/>
        <w:autoSpaceDN w:val="0"/>
        <w:adjustRightInd w:val="0"/>
        <w:ind w:hanging="436"/>
        <w:rPr>
          <w:rFonts w:asciiTheme="minorHAnsi" w:hAnsiTheme="minorHAnsi" w:cs="Calibri"/>
        </w:rPr>
      </w:pPr>
      <w:r w:rsidRPr="009700BB">
        <w:rPr>
          <w:rFonts w:asciiTheme="minorHAnsi" w:hAnsiTheme="minorHAnsi" w:cs="Calibri"/>
        </w:rPr>
        <w:t>S</w:t>
      </w:r>
      <w:r w:rsidR="00A31103" w:rsidRPr="009700BB">
        <w:rPr>
          <w:rFonts w:asciiTheme="minorHAnsi" w:hAnsiTheme="minorHAnsi" w:cs="Calibri"/>
        </w:rPr>
        <w:t xml:space="preserve">ite acquisition costs such as purchase or lease costs and any site rehabilitation costs </w:t>
      </w:r>
    </w:p>
    <w:p w14:paraId="68E2F5D6" w14:textId="77777777" w:rsidR="00A31103" w:rsidRPr="009700BB" w:rsidRDefault="0078358E" w:rsidP="009700BB">
      <w:pPr>
        <w:pStyle w:val="ListParagraph"/>
        <w:numPr>
          <w:ilvl w:val="0"/>
          <w:numId w:val="25"/>
        </w:numPr>
        <w:autoSpaceDE w:val="0"/>
        <w:autoSpaceDN w:val="0"/>
        <w:adjustRightInd w:val="0"/>
        <w:ind w:hanging="436"/>
        <w:rPr>
          <w:rFonts w:asciiTheme="minorHAnsi" w:hAnsiTheme="minorHAnsi" w:cs="Calibri"/>
        </w:rPr>
      </w:pPr>
      <w:r w:rsidRPr="009700BB">
        <w:rPr>
          <w:rFonts w:asciiTheme="minorHAnsi" w:hAnsiTheme="minorHAnsi" w:cs="Calibri"/>
        </w:rPr>
        <w:t>F</w:t>
      </w:r>
      <w:r w:rsidR="00A31103" w:rsidRPr="009700BB">
        <w:rPr>
          <w:rFonts w:asciiTheme="minorHAnsi" w:hAnsiTheme="minorHAnsi" w:cs="Calibri"/>
        </w:rPr>
        <w:t xml:space="preserve">oregone profits or revenues due to the need to undertake modifications or upgrades to existing facilities for the project </w:t>
      </w:r>
    </w:p>
    <w:p w14:paraId="65FE127E" w14:textId="77777777" w:rsidR="00A31103" w:rsidRPr="009700BB" w:rsidRDefault="0078358E" w:rsidP="009700BB">
      <w:pPr>
        <w:pStyle w:val="ListParagraph"/>
        <w:numPr>
          <w:ilvl w:val="0"/>
          <w:numId w:val="26"/>
        </w:numPr>
        <w:autoSpaceDE w:val="0"/>
        <w:autoSpaceDN w:val="0"/>
        <w:adjustRightInd w:val="0"/>
        <w:ind w:hanging="436"/>
        <w:rPr>
          <w:rFonts w:asciiTheme="minorHAnsi" w:hAnsiTheme="minorHAnsi" w:cs="Calibri"/>
        </w:rPr>
      </w:pPr>
      <w:r w:rsidRPr="009700BB">
        <w:rPr>
          <w:rFonts w:asciiTheme="minorHAnsi" w:hAnsiTheme="minorHAnsi" w:cs="Calibri"/>
        </w:rPr>
        <w:t>L</w:t>
      </w:r>
      <w:r w:rsidR="00A31103" w:rsidRPr="009700BB">
        <w:rPr>
          <w:rFonts w:asciiTheme="minorHAnsi" w:hAnsiTheme="minorHAnsi" w:cs="Calibri"/>
        </w:rPr>
        <w:t xml:space="preserve">eased equipment </w:t>
      </w:r>
    </w:p>
    <w:p w14:paraId="5F18605C" w14:textId="77777777" w:rsidR="00A31103" w:rsidRPr="009700BB" w:rsidRDefault="0078358E" w:rsidP="009700BB">
      <w:pPr>
        <w:pStyle w:val="ListParagraph"/>
        <w:numPr>
          <w:ilvl w:val="0"/>
          <w:numId w:val="26"/>
        </w:numPr>
        <w:autoSpaceDE w:val="0"/>
        <w:autoSpaceDN w:val="0"/>
        <w:adjustRightInd w:val="0"/>
        <w:ind w:hanging="436"/>
        <w:rPr>
          <w:rFonts w:asciiTheme="minorHAnsi" w:hAnsiTheme="minorHAnsi" w:cs="Calibri"/>
        </w:rPr>
      </w:pPr>
      <w:r w:rsidRPr="009700BB">
        <w:rPr>
          <w:rFonts w:asciiTheme="minorHAnsi" w:hAnsiTheme="minorHAnsi" w:cs="Calibri"/>
        </w:rPr>
        <w:t>O</w:t>
      </w:r>
      <w:r w:rsidR="00A31103" w:rsidRPr="009700BB">
        <w:rPr>
          <w:rFonts w:asciiTheme="minorHAnsi" w:hAnsiTheme="minorHAnsi" w:cs="Calibri"/>
        </w:rPr>
        <w:t xml:space="preserve">perations and maintenance costs, including working capital </w:t>
      </w:r>
    </w:p>
    <w:p w14:paraId="45359B8A" w14:textId="77777777" w:rsidR="00A31103" w:rsidRPr="009700BB" w:rsidRDefault="0078358E" w:rsidP="009700BB">
      <w:pPr>
        <w:pStyle w:val="ListParagraph"/>
        <w:numPr>
          <w:ilvl w:val="0"/>
          <w:numId w:val="26"/>
        </w:numPr>
        <w:autoSpaceDE w:val="0"/>
        <w:autoSpaceDN w:val="0"/>
        <w:adjustRightInd w:val="0"/>
        <w:ind w:hanging="436"/>
        <w:rPr>
          <w:rFonts w:asciiTheme="minorHAnsi" w:hAnsiTheme="minorHAnsi" w:cs="Calibri"/>
        </w:rPr>
      </w:pPr>
      <w:r w:rsidRPr="009700BB">
        <w:rPr>
          <w:rFonts w:asciiTheme="minorHAnsi" w:hAnsiTheme="minorHAnsi" w:cs="Calibri"/>
        </w:rPr>
        <w:t>L</w:t>
      </w:r>
      <w:r w:rsidR="00A31103" w:rsidRPr="009700BB">
        <w:rPr>
          <w:rFonts w:asciiTheme="minorHAnsi" w:hAnsiTheme="minorHAnsi" w:cs="Calibri"/>
        </w:rPr>
        <w:t xml:space="preserve">egal and financing costs and costs related to making, monitoring and administering the grant application (including for consultants) </w:t>
      </w:r>
    </w:p>
    <w:p w14:paraId="349CC91C" w14:textId="77777777" w:rsidR="00A31103" w:rsidRPr="009700BB" w:rsidRDefault="0078358E" w:rsidP="009700BB">
      <w:pPr>
        <w:pStyle w:val="ListParagraph"/>
        <w:numPr>
          <w:ilvl w:val="0"/>
          <w:numId w:val="26"/>
        </w:numPr>
        <w:autoSpaceDE w:val="0"/>
        <w:autoSpaceDN w:val="0"/>
        <w:adjustRightInd w:val="0"/>
        <w:ind w:hanging="436"/>
        <w:rPr>
          <w:rFonts w:asciiTheme="minorHAnsi" w:hAnsiTheme="minorHAnsi" w:cs="Calibri"/>
        </w:rPr>
      </w:pPr>
      <w:r w:rsidRPr="009700BB">
        <w:rPr>
          <w:rFonts w:asciiTheme="minorHAnsi" w:hAnsiTheme="minorHAnsi" w:cs="Calibri"/>
        </w:rPr>
        <w:t>E</w:t>
      </w:r>
      <w:r w:rsidR="00A31103" w:rsidRPr="009700BB">
        <w:rPr>
          <w:rFonts w:asciiTheme="minorHAnsi" w:hAnsiTheme="minorHAnsi" w:cs="Calibri"/>
        </w:rPr>
        <w:t xml:space="preserve">xisting plant and equipment which may be utilised in the new project </w:t>
      </w:r>
    </w:p>
    <w:p w14:paraId="7DDC180D" w14:textId="2E9A6E16" w:rsidR="00A31103" w:rsidRPr="009700BB" w:rsidRDefault="0078358E" w:rsidP="009700BB">
      <w:pPr>
        <w:pStyle w:val="ListParagraph"/>
        <w:numPr>
          <w:ilvl w:val="0"/>
          <w:numId w:val="26"/>
        </w:numPr>
        <w:autoSpaceDE w:val="0"/>
        <w:autoSpaceDN w:val="0"/>
        <w:adjustRightInd w:val="0"/>
        <w:ind w:hanging="436"/>
        <w:rPr>
          <w:rFonts w:asciiTheme="minorHAnsi" w:hAnsiTheme="minorHAnsi" w:cs="Calibri"/>
        </w:rPr>
      </w:pPr>
      <w:r w:rsidRPr="009700BB">
        <w:rPr>
          <w:rFonts w:asciiTheme="minorHAnsi" w:hAnsiTheme="minorHAnsi" w:cs="Calibri"/>
        </w:rPr>
        <w:t>C</w:t>
      </w:r>
      <w:r w:rsidR="00A31103" w:rsidRPr="009700BB">
        <w:rPr>
          <w:rFonts w:asciiTheme="minorHAnsi" w:hAnsiTheme="minorHAnsi" w:cs="Calibri"/>
        </w:rPr>
        <w:t xml:space="preserve">osts associated with general business operations such as rent, salaries and wages, leases and overheads </w:t>
      </w:r>
      <w:r w:rsidR="001474E9">
        <w:rPr>
          <w:rFonts w:asciiTheme="minorHAnsi" w:hAnsiTheme="minorHAnsi" w:cs="Calibri"/>
        </w:rPr>
        <w:t>and other operating costs like rent, electricity, water and other utilities or maintenance works.</w:t>
      </w:r>
    </w:p>
    <w:p w14:paraId="7F93A59A" w14:textId="77777777" w:rsidR="00A31103" w:rsidRPr="009700BB" w:rsidRDefault="0078358E" w:rsidP="009700BB">
      <w:pPr>
        <w:pStyle w:val="ListParagraph"/>
        <w:numPr>
          <w:ilvl w:val="0"/>
          <w:numId w:val="26"/>
        </w:numPr>
        <w:autoSpaceDE w:val="0"/>
        <w:autoSpaceDN w:val="0"/>
        <w:adjustRightInd w:val="0"/>
        <w:ind w:hanging="436"/>
        <w:rPr>
          <w:rFonts w:asciiTheme="minorHAnsi" w:hAnsiTheme="minorHAnsi" w:cs="Calibri"/>
          <w:szCs w:val="24"/>
        </w:rPr>
      </w:pPr>
      <w:r w:rsidRPr="009700BB">
        <w:rPr>
          <w:rFonts w:asciiTheme="minorHAnsi" w:hAnsiTheme="minorHAnsi" w:cs="Calibri"/>
          <w:szCs w:val="24"/>
        </w:rPr>
        <w:lastRenderedPageBreak/>
        <w:t>O</w:t>
      </w:r>
      <w:r w:rsidR="00A31103" w:rsidRPr="009700BB">
        <w:rPr>
          <w:rFonts w:asciiTheme="minorHAnsi" w:hAnsiTheme="minorHAnsi" w:cs="Calibri"/>
          <w:szCs w:val="24"/>
        </w:rPr>
        <w:t xml:space="preserve">perational project costs such as travel (including for professional consultants), marketing, promotion and advertising, education and information campaigns and internal staff costs </w:t>
      </w:r>
    </w:p>
    <w:p w14:paraId="5E4500F3" w14:textId="77777777" w:rsidR="00A31103" w:rsidRPr="009700BB" w:rsidRDefault="0078358E" w:rsidP="009700BB">
      <w:pPr>
        <w:pStyle w:val="ListParagraph"/>
        <w:numPr>
          <w:ilvl w:val="0"/>
          <w:numId w:val="26"/>
        </w:numPr>
        <w:autoSpaceDE w:val="0"/>
        <w:autoSpaceDN w:val="0"/>
        <w:adjustRightInd w:val="0"/>
        <w:ind w:hanging="436"/>
        <w:rPr>
          <w:rFonts w:asciiTheme="minorHAnsi" w:hAnsiTheme="minorHAnsi" w:cs="Calibri"/>
          <w:szCs w:val="24"/>
        </w:rPr>
      </w:pPr>
      <w:r w:rsidRPr="009700BB">
        <w:rPr>
          <w:rFonts w:asciiTheme="minorHAnsi" w:hAnsiTheme="minorHAnsi" w:cs="Calibri"/>
          <w:szCs w:val="24"/>
        </w:rPr>
        <w:t>C</w:t>
      </w:r>
      <w:r w:rsidR="00A31103" w:rsidRPr="009700BB">
        <w:rPr>
          <w:rFonts w:asciiTheme="minorHAnsi" w:hAnsiTheme="minorHAnsi" w:cs="Calibri"/>
          <w:szCs w:val="24"/>
        </w:rPr>
        <w:t>ontingency allowances (it is considered prudent for these to be inc</w:t>
      </w:r>
      <w:r w:rsidR="001B7017" w:rsidRPr="009700BB">
        <w:rPr>
          <w:rFonts w:asciiTheme="minorHAnsi" w:hAnsiTheme="minorHAnsi" w:cs="Calibri"/>
          <w:szCs w:val="24"/>
        </w:rPr>
        <w:t>luded in the total project budget</w:t>
      </w:r>
      <w:r w:rsidR="00B81904" w:rsidRPr="009700BB">
        <w:rPr>
          <w:rFonts w:asciiTheme="minorHAnsi" w:hAnsiTheme="minorHAnsi" w:cs="Calibri"/>
          <w:szCs w:val="24"/>
        </w:rPr>
        <w:t>)</w:t>
      </w:r>
    </w:p>
    <w:p w14:paraId="18425BCC" w14:textId="51813530" w:rsidR="00B81904" w:rsidRDefault="001474E9" w:rsidP="009700BB">
      <w:pPr>
        <w:pStyle w:val="ListParagraph"/>
        <w:numPr>
          <w:ilvl w:val="0"/>
          <w:numId w:val="10"/>
        </w:numPr>
        <w:autoSpaceDE w:val="0"/>
        <w:autoSpaceDN w:val="0"/>
        <w:adjustRightInd w:val="0"/>
        <w:ind w:left="714" w:hanging="430"/>
        <w:rPr>
          <w:rFonts w:asciiTheme="minorHAnsi" w:hAnsiTheme="minorHAnsi" w:cs="Calibri"/>
          <w:szCs w:val="24"/>
        </w:rPr>
      </w:pPr>
      <w:r>
        <w:rPr>
          <w:rFonts w:asciiTheme="minorHAnsi" w:hAnsiTheme="minorHAnsi" w:cs="Calibri"/>
          <w:szCs w:val="24"/>
        </w:rPr>
        <w:t>Lease or purchase of land and c</w:t>
      </w:r>
      <w:r w:rsidR="00FA3570">
        <w:rPr>
          <w:rFonts w:asciiTheme="minorHAnsi" w:hAnsiTheme="minorHAnsi" w:cs="Calibri"/>
          <w:szCs w:val="24"/>
        </w:rPr>
        <w:t>osts of a</w:t>
      </w:r>
      <w:r w:rsidR="00B81904" w:rsidRPr="009700BB">
        <w:rPr>
          <w:rFonts w:asciiTheme="minorHAnsi" w:hAnsiTheme="minorHAnsi" w:cs="Calibri"/>
          <w:szCs w:val="24"/>
        </w:rPr>
        <w:t>cquisition of property</w:t>
      </w:r>
      <w:r w:rsidR="00FA3570">
        <w:rPr>
          <w:rFonts w:asciiTheme="minorHAnsi" w:hAnsiTheme="minorHAnsi" w:cs="Calibri"/>
          <w:szCs w:val="24"/>
        </w:rPr>
        <w:t>, people</w:t>
      </w:r>
      <w:r w:rsidR="00B81904" w:rsidRPr="009700BB">
        <w:rPr>
          <w:rFonts w:asciiTheme="minorHAnsi" w:hAnsiTheme="minorHAnsi" w:cs="Calibri"/>
          <w:szCs w:val="24"/>
        </w:rPr>
        <w:t xml:space="preserve"> </w:t>
      </w:r>
      <w:r w:rsidR="00266F99" w:rsidRPr="009700BB">
        <w:rPr>
          <w:rFonts w:asciiTheme="minorHAnsi" w:hAnsiTheme="minorHAnsi" w:cs="Calibri"/>
          <w:szCs w:val="24"/>
        </w:rPr>
        <w:t>or assets from related entities</w:t>
      </w:r>
    </w:p>
    <w:p w14:paraId="0E96B4D8" w14:textId="77777777" w:rsidR="001474E9" w:rsidRPr="001A156F" w:rsidRDefault="001474E9" w:rsidP="001474E9">
      <w:pPr>
        <w:numPr>
          <w:ilvl w:val="0"/>
          <w:numId w:val="10"/>
        </w:numPr>
        <w:spacing w:after="120"/>
        <w:rPr>
          <w:color w:val="222222"/>
          <w:szCs w:val="24"/>
        </w:rPr>
      </w:pPr>
      <w:r w:rsidRPr="002B30AD">
        <w:rPr>
          <w:color w:val="222222"/>
          <w:szCs w:val="24"/>
        </w:rPr>
        <w:t>Purchase of motorised vehicles (for example, front-end loaders, forklifts)</w:t>
      </w:r>
    </w:p>
    <w:p w14:paraId="22918F71" w14:textId="77777777" w:rsidR="001474E9" w:rsidRPr="009700BB" w:rsidRDefault="001474E9" w:rsidP="001474E9">
      <w:pPr>
        <w:pStyle w:val="ListParagraph"/>
        <w:autoSpaceDE w:val="0"/>
        <w:autoSpaceDN w:val="0"/>
        <w:adjustRightInd w:val="0"/>
        <w:ind w:left="714"/>
        <w:rPr>
          <w:rFonts w:asciiTheme="minorHAnsi" w:hAnsiTheme="minorHAnsi" w:cs="Calibri"/>
          <w:szCs w:val="24"/>
        </w:rPr>
      </w:pPr>
    </w:p>
    <w:p w14:paraId="44C85BB4" w14:textId="77777777" w:rsidR="00C0051E" w:rsidRPr="00C0051E" w:rsidRDefault="00A36536" w:rsidP="0040698F">
      <w:pPr>
        <w:pStyle w:val="Heading1"/>
        <w:rPr>
          <w:lang w:eastAsia="en-AU"/>
        </w:rPr>
      </w:pPr>
      <w:bookmarkStart w:id="11" w:name="_Toc146102972"/>
      <w:r>
        <w:rPr>
          <w:lang w:eastAsia="en-AU"/>
        </w:rPr>
        <w:t xml:space="preserve">5. </w:t>
      </w:r>
      <w:r>
        <w:rPr>
          <w:lang w:eastAsia="en-AU"/>
        </w:rPr>
        <w:tab/>
      </w:r>
      <w:r w:rsidR="00C0051E" w:rsidRPr="00C0051E">
        <w:rPr>
          <w:lang w:eastAsia="en-AU"/>
        </w:rPr>
        <w:t>Funding arrangements</w:t>
      </w:r>
      <w:r w:rsidR="00F45E37">
        <w:rPr>
          <w:lang w:eastAsia="en-AU"/>
        </w:rPr>
        <w:t xml:space="preserve"> for successful </w:t>
      </w:r>
      <w:r w:rsidR="00774351">
        <w:rPr>
          <w:lang w:eastAsia="en-AU"/>
        </w:rPr>
        <w:t>p</w:t>
      </w:r>
      <w:r w:rsidR="00F45E37">
        <w:rPr>
          <w:lang w:eastAsia="en-AU"/>
        </w:rPr>
        <w:t>rojects</w:t>
      </w:r>
      <w:bookmarkEnd w:id="11"/>
    </w:p>
    <w:p w14:paraId="5572E3E1" w14:textId="6B8262C8" w:rsidR="00C0051E" w:rsidRPr="00EB0264" w:rsidRDefault="00027D79" w:rsidP="00EB0264">
      <w:pPr>
        <w:spacing w:after="120"/>
      </w:pPr>
      <w:r>
        <w:t>The f</w:t>
      </w:r>
      <w:r w:rsidRPr="00EB0264">
        <w:t xml:space="preserve">unding </w:t>
      </w:r>
      <w:r>
        <w:t xml:space="preserve">available to eligible organisations to undertake the approved projects under CENT will be on a 1:1 co-contribution basis with </w:t>
      </w:r>
      <w:r w:rsidR="000257A1">
        <w:t xml:space="preserve">minimum </w:t>
      </w:r>
      <w:r>
        <w:t>funding</w:t>
      </w:r>
      <w:r w:rsidR="00785D01">
        <w:t xml:space="preserve"> amount</w:t>
      </w:r>
      <w:r>
        <w:t xml:space="preserve"> </w:t>
      </w:r>
      <w:r w:rsidR="000257A1">
        <w:t xml:space="preserve">of </w:t>
      </w:r>
      <w:r w:rsidR="00B40B0D">
        <w:t>$50,000</w:t>
      </w:r>
      <w:r w:rsidR="00E91B29">
        <w:t xml:space="preserve"> </w:t>
      </w:r>
      <w:r w:rsidR="00C0051E" w:rsidRPr="00B40B0D">
        <w:t>(excluding</w:t>
      </w:r>
      <w:r w:rsidR="00C0051E" w:rsidRPr="00EB0264">
        <w:t xml:space="preserve"> GST</w:t>
      </w:r>
      <w:r w:rsidR="00832582">
        <w:t>).</w:t>
      </w:r>
      <w:r w:rsidR="00C0051E" w:rsidRPr="00EB0264">
        <w:t xml:space="preserve">  </w:t>
      </w:r>
    </w:p>
    <w:p w14:paraId="339D0043" w14:textId="0B79DFC1" w:rsidR="00C0051E" w:rsidRPr="00EB0264" w:rsidRDefault="00C0051E" w:rsidP="00EB0264">
      <w:pPr>
        <w:spacing w:after="120"/>
      </w:pPr>
      <w:r w:rsidRPr="00EB0264">
        <w:t xml:space="preserve">The </w:t>
      </w:r>
      <w:r w:rsidR="00932BF8">
        <w:t>CENT</w:t>
      </w:r>
      <w:r w:rsidRPr="00EB0264">
        <w:t xml:space="preserve"> will reimburse up to a maximum of 50 percent of actual expendit</w:t>
      </w:r>
      <w:r w:rsidR="00B81904" w:rsidRPr="00EB0264">
        <w:t>ure on eligible project costs.</w:t>
      </w:r>
      <w:r w:rsidR="006B6897" w:rsidRPr="00EB0264">
        <w:t xml:space="preserve"> </w:t>
      </w:r>
    </w:p>
    <w:p w14:paraId="291FD5CB" w14:textId="77777777" w:rsidR="00C0051E" w:rsidRPr="00EB0264" w:rsidRDefault="00C0051E" w:rsidP="00EB0264">
      <w:pPr>
        <w:spacing w:after="120"/>
      </w:pPr>
      <w:r w:rsidRPr="00EB0264">
        <w:t xml:space="preserve">Applicants must be able to </w:t>
      </w:r>
      <w:r w:rsidR="00457350">
        <w:t>self-</w:t>
      </w:r>
      <w:r w:rsidR="00027D79">
        <w:t>fund t</w:t>
      </w:r>
      <w:r w:rsidRPr="00EB0264">
        <w:t>he balance of eligible project costs not funded by the</w:t>
      </w:r>
      <w:r w:rsidR="00C73A9D" w:rsidRPr="00EB0264">
        <w:t xml:space="preserve"> </w:t>
      </w:r>
      <w:r w:rsidR="00932BF8">
        <w:t>CENT</w:t>
      </w:r>
      <w:r w:rsidRPr="00EB0264">
        <w:t xml:space="preserve"> and all ineligible project costs required to complete the project in its entirety. </w:t>
      </w:r>
    </w:p>
    <w:p w14:paraId="4559A337" w14:textId="2442EBB8" w:rsidR="00C0051E" w:rsidRPr="00EB0264" w:rsidRDefault="00C0051E" w:rsidP="00EB0264">
      <w:pPr>
        <w:spacing w:after="120"/>
      </w:pPr>
      <w:r w:rsidRPr="00EB0264">
        <w:t>The applicant</w:t>
      </w:r>
      <w:r w:rsidR="00B3648D">
        <w:t>’s</w:t>
      </w:r>
      <w:r w:rsidRPr="00EB0264">
        <w:t xml:space="preserve"> co-contribution may be obtained from internal funds as well as any funding sources </w:t>
      </w:r>
      <w:r w:rsidR="00E043A8">
        <w:t>(</w:t>
      </w:r>
      <w:r w:rsidRPr="00EB0264">
        <w:t xml:space="preserve">including </w:t>
      </w:r>
      <w:r w:rsidR="00E043A8">
        <w:t xml:space="preserve">bank or internal </w:t>
      </w:r>
      <w:r w:rsidR="00B07BC7">
        <w:t>sources of finance</w:t>
      </w:r>
      <w:r w:rsidR="00E043A8">
        <w:t>).</w:t>
      </w:r>
      <w:r w:rsidRPr="00EB0264">
        <w:t xml:space="preserve"> </w:t>
      </w:r>
    </w:p>
    <w:p w14:paraId="1AD73FFC" w14:textId="77777777" w:rsidR="0064093D" w:rsidRPr="00EB0264" w:rsidRDefault="00C0051E" w:rsidP="00EB0264">
      <w:pPr>
        <w:spacing w:after="120"/>
      </w:pPr>
      <w:r w:rsidRPr="00EB0264">
        <w:t xml:space="preserve">Applicants are required to provide a project budget identifying all project costs by line item. </w:t>
      </w:r>
      <w:r w:rsidRPr="00EB0264">
        <w:rPr>
          <w:b/>
        </w:rPr>
        <w:t>All eligible and ineligible project costs should be included</w:t>
      </w:r>
      <w:r w:rsidRPr="00EB0264">
        <w:t xml:space="preserve">.  The project budget must </w:t>
      </w:r>
      <w:r w:rsidR="0038035D" w:rsidRPr="00EB0264">
        <w:t>include sufficient detail to show:</w:t>
      </w:r>
      <w:r w:rsidRPr="00EB0264">
        <w:t xml:space="preserve"> </w:t>
      </w:r>
    </w:p>
    <w:p w14:paraId="4EBE7991" w14:textId="77777777" w:rsidR="0064093D" w:rsidRPr="00EB0264" w:rsidRDefault="00C0051E" w:rsidP="00EB0264">
      <w:pPr>
        <w:pStyle w:val="ListParagraph"/>
        <w:numPr>
          <w:ilvl w:val="0"/>
          <w:numId w:val="27"/>
        </w:numPr>
        <w:ind w:hanging="436"/>
      </w:pPr>
      <w:r w:rsidRPr="00EB0264">
        <w:t xml:space="preserve">that each item included as an eligible project cost meets the </w:t>
      </w:r>
      <w:r w:rsidR="00932BF8">
        <w:t>CENT</w:t>
      </w:r>
      <w:r w:rsidR="0064093D" w:rsidRPr="00EB0264">
        <w:t xml:space="preserve"> criteria as eligible </w:t>
      </w:r>
    </w:p>
    <w:p w14:paraId="7C4A9367" w14:textId="77777777" w:rsidR="0064093D" w:rsidRPr="00EB0264" w:rsidRDefault="00C0051E" w:rsidP="00EB0264">
      <w:pPr>
        <w:pStyle w:val="ListParagraph"/>
        <w:numPr>
          <w:ilvl w:val="0"/>
          <w:numId w:val="27"/>
        </w:numPr>
        <w:ind w:hanging="436"/>
      </w:pPr>
      <w:r w:rsidRPr="00EB0264">
        <w:t xml:space="preserve">the eligible and ineligible costs incurred for each deliverable  </w:t>
      </w:r>
    </w:p>
    <w:p w14:paraId="5405CD8E" w14:textId="3359032B" w:rsidR="00C0051E" w:rsidRPr="00EB0264" w:rsidRDefault="00C0051E" w:rsidP="00EB0264">
      <w:pPr>
        <w:pStyle w:val="ListParagraph"/>
        <w:numPr>
          <w:ilvl w:val="0"/>
          <w:numId w:val="27"/>
        </w:numPr>
        <w:ind w:hanging="436"/>
      </w:pPr>
      <w:r w:rsidRPr="00EB0264">
        <w:t>the total costs for the overall project</w:t>
      </w:r>
      <w:r w:rsidR="00B07BC7">
        <w:t xml:space="preserve">, including forecast operational costs for five (5) years following </w:t>
      </w:r>
      <w:r w:rsidR="002D37BA">
        <w:t>commencement of the operation.</w:t>
      </w:r>
    </w:p>
    <w:p w14:paraId="7DAB933A" w14:textId="77777777" w:rsidR="00C0051E" w:rsidRPr="00EB0264" w:rsidRDefault="00C81914" w:rsidP="00EB0264">
      <w:pPr>
        <w:spacing w:after="120"/>
      </w:pPr>
      <w:r w:rsidRPr="00EB0264">
        <w:t xml:space="preserve">Applications must be supported by written </w:t>
      </w:r>
      <w:r w:rsidR="00C0051E" w:rsidRPr="00EB0264">
        <w:t>evidence, such as supplier quotations,</w:t>
      </w:r>
      <w:r w:rsidR="00301ED6" w:rsidRPr="00EB0264">
        <w:t xml:space="preserve"> (no older than </w:t>
      </w:r>
      <w:r w:rsidR="00D05474" w:rsidRPr="00EB0264">
        <w:t>three</w:t>
      </w:r>
      <w:r w:rsidR="00301ED6" w:rsidRPr="00EB0264">
        <w:t xml:space="preserve"> months)</w:t>
      </w:r>
      <w:r w:rsidR="00C0051E" w:rsidRPr="00EB0264">
        <w:t xml:space="preserve"> to verify and c</w:t>
      </w:r>
      <w:r w:rsidR="00B81904" w:rsidRPr="00EB0264">
        <w:t>onfirm projected project costs.</w:t>
      </w:r>
    </w:p>
    <w:p w14:paraId="3A3C25AF" w14:textId="7DC448DD" w:rsidR="00C0051E" w:rsidRPr="00EB0264" w:rsidRDefault="00D1192B" w:rsidP="00EB0264">
      <w:pPr>
        <w:spacing w:after="120"/>
      </w:pPr>
      <w:r w:rsidRPr="00EB0264">
        <w:t xml:space="preserve">Applications will be assessed by the Panel </w:t>
      </w:r>
      <w:r w:rsidR="00F96724" w:rsidRPr="00EB0264">
        <w:t xml:space="preserve">against the criteria set out in Section 7 of these terms and conditions.  </w:t>
      </w:r>
      <w:r w:rsidR="00C0051E" w:rsidRPr="00EB0264">
        <w:t xml:space="preserve">If </w:t>
      </w:r>
      <w:r w:rsidR="00C81914" w:rsidRPr="00EB0264">
        <w:t>an application</w:t>
      </w:r>
      <w:r w:rsidR="006A6F6D" w:rsidRPr="00EB0264">
        <w:t xml:space="preserve"> is</w:t>
      </w:r>
      <w:r w:rsidR="00C0051E" w:rsidRPr="00EB0264">
        <w:t xml:space="preserve"> successful, </w:t>
      </w:r>
      <w:r w:rsidR="00F45E37" w:rsidRPr="00EB0264">
        <w:t>the applicant</w:t>
      </w:r>
      <w:r w:rsidR="00C0051E" w:rsidRPr="00EB0264">
        <w:t xml:space="preserve"> will</w:t>
      </w:r>
      <w:r w:rsidR="00610E79" w:rsidRPr="00EB0264">
        <w:t xml:space="preserve"> receive a written offer from the </w:t>
      </w:r>
      <w:r w:rsidR="005F53A8" w:rsidRPr="00EB0264">
        <w:t xml:space="preserve">Department </w:t>
      </w:r>
      <w:r w:rsidR="00B00F84">
        <w:t>that will be on the standard NT Government Capital Grant General Terms and conditions available at [insert website] and include any special conditions required by the Department</w:t>
      </w:r>
      <w:r w:rsidR="00541773">
        <w:t>.</w:t>
      </w:r>
      <w:r w:rsidR="007D2796">
        <w:t xml:space="preserve"> </w:t>
      </w:r>
      <w:r w:rsidR="00C0051E" w:rsidRPr="00EB0264">
        <w:t xml:space="preserve">All </w:t>
      </w:r>
      <w:r w:rsidR="006C462C" w:rsidRPr="00EB0264">
        <w:t>funding payments</w:t>
      </w:r>
      <w:r w:rsidR="00C0051E" w:rsidRPr="00EB0264">
        <w:t xml:space="preserve"> will link to </w:t>
      </w:r>
      <w:r w:rsidR="006C462C" w:rsidRPr="00EB0264">
        <w:t xml:space="preserve">completion of milestones set out in the </w:t>
      </w:r>
      <w:r w:rsidR="00F9629A" w:rsidRPr="00EB0264">
        <w:t>f</w:t>
      </w:r>
      <w:r w:rsidR="006C462C" w:rsidRPr="00EB0264">
        <w:t xml:space="preserve">unding </w:t>
      </w:r>
      <w:r w:rsidR="00F9629A" w:rsidRPr="00EB0264">
        <w:t>a</w:t>
      </w:r>
      <w:r w:rsidR="006C462C" w:rsidRPr="00EB0264">
        <w:t>greement</w:t>
      </w:r>
      <w:r w:rsidR="001A156F">
        <w:t xml:space="preserve">. </w:t>
      </w:r>
      <w:r w:rsidR="00C0051E" w:rsidRPr="00EB0264">
        <w:t xml:space="preserve">  </w:t>
      </w:r>
    </w:p>
    <w:p w14:paraId="307E901A" w14:textId="1713057B" w:rsidR="005B7DE2" w:rsidRDefault="00BA44C4" w:rsidP="00EB0264">
      <w:pPr>
        <w:spacing w:after="120"/>
      </w:pPr>
      <w:r w:rsidRPr="00EB0264">
        <w:t xml:space="preserve">Applicants should note that </w:t>
      </w:r>
      <w:r w:rsidR="00F9629A" w:rsidRPr="00EB0264">
        <w:t>f</w:t>
      </w:r>
      <w:r w:rsidRPr="00EB0264">
        <w:t xml:space="preserve">unding </w:t>
      </w:r>
      <w:r w:rsidR="00F9629A" w:rsidRPr="00EB0264">
        <w:t>a</w:t>
      </w:r>
      <w:r w:rsidRPr="00EB0264">
        <w:t>greements will contain a requirement that the funded project remain operational</w:t>
      </w:r>
      <w:r w:rsidR="00483932" w:rsidRPr="00EB0264">
        <w:t xml:space="preserve"> in the Northern Territory for a period of at least </w:t>
      </w:r>
      <w:r w:rsidR="00D05474" w:rsidRPr="00EB0264">
        <w:t>five</w:t>
      </w:r>
      <w:r w:rsidR="00483932" w:rsidRPr="00EB0264">
        <w:t xml:space="preserve"> years following completion of construction, including a requirement that all funded fixtures</w:t>
      </w:r>
      <w:r w:rsidR="006A6F6D" w:rsidRPr="00EB0264">
        <w:t>,</w:t>
      </w:r>
      <w:r w:rsidR="00483932" w:rsidRPr="00EB0264">
        <w:t xml:space="preserve"> fittings</w:t>
      </w:r>
      <w:r w:rsidR="006A6F6D" w:rsidRPr="00EB0264">
        <w:t>,</w:t>
      </w:r>
      <w:r w:rsidR="00483932" w:rsidRPr="00EB0264">
        <w:t xml:space="preserve"> equipment and vehicles (if relevant) remain located in the Northern Territory.</w:t>
      </w:r>
    </w:p>
    <w:p w14:paraId="026B1402" w14:textId="67F8D301" w:rsidR="00F20FFE" w:rsidRPr="00EB0264" w:rsidRDefault="00207E1D" w:rsidP="00EB0264">
      <w:pPr>
        <w:spacing w:after="120"/>
      </w:pPr>
      <w:r w:rsidRPr="00EB0264">
        <w:t>A</w:t>
      </w:r>
      <w:r w:rsidR="00F20FFE" w:rsidRPr="00EB0264">
        <w:t xml:space="preserve">pplicants </w:t>
      </w:r>
      <w:r w:rsidRPr="00EB0264">
        <w:t>must</w:t>
      </w:r>
      <w:r w:rsidR="00F20FFE" w:rsidRPr="00EB0264">
        <w:t xml:space="preserve"> nominate </w:t>
      </w:r>
      <w:r w:rsidR="00393736" w:rsidRPr="00EB0264">
        <w:t>their required payment milestones and timeline</w:t>
      </w:r>
      <w:r w:rsidR="00755B5A" w:rsidRPr="00EB0264">
        <w:t xml:space="preserve"> </w:t>
      </w:r>
      <w:r w:rsidR="00F20FFE" w:rsidRPr="00EB0264">
        <w:t>noting the following:</w:t>
      </w:r>
    </w:p>
    <w:p w14:paraId="60EB4D0B" w14:textId="77777777" w:rsidR="00F20FFE" w:rsidRPr="00EB0264" w:rsidRDefault="00F20FFE" w:rsidP="002B30AD">
      <w:pPr>
        <w:pStyle w:val="ListParagraph"/>
        <w:numPr>
          <w:ilvl w:val="0"/>
          <w:numId w:val="40"/>
        </w:numPr>
        <w:ind w:hanging="436"/>
      </w:pPr>
      <w:r w:rsidRPr="00EB0264">
        <w:t>Project payment milestones</w:t>
      </w:r>
      <w:r w:rsidR="00393736" w:rsidRPr="00EB0264">
        <w:t xml:space="preserve"> and </w:t>
      </w:r>
      <w:r w:rsidR="00DF184E" w:rsidRPr="00EB0264">
        <w:t>timing</w:t>
      </w:r>
      <w:r w:rsidRPr="00EB0264">
        <w:t xml:space="preserve"> will be ultimately determined by the</w:t>
      </w:r>
      <w:r w:rsidR="003462A0" w:rsidRPr="00EB0264">
        <w:t xml:space="preserve"> </w:t>
      </w:r>
      <w:r w:rsidR="005F53A8" w:rsidRPr="00EB0264">
        <w:t xml:space="preserve">Department </w:t>
      </w:r>
      <w:r w:rsidR="00F46029" w:rsidRPr="00EB0264">
        <w:t xml:space="preserve">under the </w:t>
      </w:r>
      <w:r w:rsidR="00F9629A" w:rsidRPr="00EB0264">
        <w:t>f</w:t>
      </w:r>
      <w:r w:rsidR="00F46029" w:rsidRPr="00EB0264">
        <w:t xml:space="preserve">unding </w:t>
      </w:r>
      <w:r w:rsidR="00F9629A" w:rsidRPr="00EB0264">
        <w:t>a</w:t>
      </w:r>
      <w:r w:rsidR="00F46029" w:rsidRPr="00EB0264">
        <w:t>greement.</w:t>
      </w:r>
    </w:p>
    <w:p w14:paraId="3DF7814E" w14:textId="2E949D15" w:rsidR="00F20FFE" w:rsidRPr="004A2B46" w:rsidRDefault="00E91B29" w:rsidP="002B30AD">
      <w:pPr>
        <w:ind w:left="709" w:hanging="425"/>
      </w:pPr>
      <w:r>
        <w:t xml:space="preserve">b) </w:t>
      </w:r>
      <w:r w:rsidR="002B30AD">
        <w:tab/>
      </w:r>
      <w:r w:rsidR="00F20FFE" w:rsidRPr="004A2B46">
        <w:t xml:space="preserve">An initial milestone payment </w:t>
      </w:r>
      <w:r w:rsidR="00411519" w:rsidRPr="004A2B46">
        <w:t xml:space="preserve">of </w:t>
      </w:r>
      <w:r w:rsidR="00F20FFE" w:rsidRPr="004A2B46">
        <w:t xml:space="preserve">up to </w:t>
      </w:r>
      <w:r w:rsidR="00C36C0E" w:rsidRPr="004A2B46">
        <w:t>10</w:t>
      </w:r>
      <w:r w:rsidR="00C0051E" w:rsidRPr="004A2B46">
        <w:t xml:space="preserve"> per cent payment </w:t>
      </w:r>
      <w:r w:rsidR="00F20FFE" w:rsidRPr="004A2B46">
        <w:t xml:space="preserve">of the total approved grant amount </w:t>
      </w:r>
      <w:r w:rsidR="00411519" w:rsidRPr="004A2B46">
        <w:t xml:space="preserve">may be </w:t>
      </w:r>
      <w:r w:rsidR="007D2796">
        <w:t xml:space="preserve">requested prior to the funding agreement being executed and will be subject to </w:t>
      </w:r>
      <w:r w:rsidR="00C0051E" w:rsidRPr="004A2B46">
        <w:t>preconditions</w:t>
      </w:r>
      <w:r w:rsidR="007D2796">
        <w:t xml:space="preserve"> as determined by the Department</w:t>
      </w:r>
      <w:r w:rsidR="00C0051E" w:rsidRPr="004A2B46">
        <w:t xml:space="preserve">. </w:t>
      </w:r>
    </w:p>
    <w:p w14:paraId="5B2863CD" w14:textId="77777777" w:rsidR="00C0051E" w:rsidRPr="00EB0264" w:rsidRDefault="00E91B29" w:rsidP="000F19A7">
      <w:pPr>
        <w:ind w:left="284"/>
      </w:pPr>
      <w:r>
        <w:lastRenderedPageBreak/>
        <w:t xml:space="preserve">c) </w:t>
      </w:r>
      <w:r w:rsidR="00C0051E" w:rsidRPr="00EB0264">
        <w:t xml:space="preserve">Funding will then be provided in instalments and paid in arrears upon verified, successful and timely completion of agreed project deliverables and evidence of expenditure.   </w:t>
      </w:r>
    </w:p>
    <w:p w14:paraId="3789A0D7" w14:textId="77777777" w:rsidR="00C0051E" w:rsidRPr="00EB0264" w:rsidRDefault="00881B1F" w:rsidP="00EB0264">
      <w:pPr>
        <w:spacing w:after="120"/>
      </w:pPr>
      <w:r w:rsidRPr="00EB0264">
        <w:t>Eligible organisations that are funded</w:t>
      </w:r>
      <w:r w:rsidR="00C0051E" w:rsidRPr="00EB0264">
        <w:t xml:space="preserve"> will be required to provide progress reports to </w:t>
      </w:r>
      <w:r w:rsidR="00F9629A" w:rsidRPr="00EB0264">
        <w:t xml:space="preserve">the Department </w:t>
      </w:r>
      <w:r w:rsidR="00C0051E" w:rsidRPr="00EB0264">
        <w:t>to demonstrate that the project is being delivered on schedule</w:t>
      </w:r>
      <w:r w:rsidR="007D2796">
        <w:t xml:space="preserve"> and within budget</w:t>
      </w:r>
      <w:r w:rsidR="00C0051E" w:rsidRPr="00EB0264">
        <w:t>. A completion report</w:t>
      </w:r>
      <w:r w:rsidR="00301ED6" w:rsidRPr="00EB0264">
        <w:t xml:space="preserve"> including financial acquittal</w:t>
      </w:r>
      <w:r w:rsidR="00C0051E" w:rsidRPr="00EB0264">
        <w:t xml:space="preserve"> will be </w:t>
      </w:r>
      <w:r w:rsidR="00F9629A" w:rsidRPr="00EB0264">
        <w:t>required within</w:t>
      </w:r>
      <w:r w:rsidR="00C80292" w:rsidRPr="00EB0264">
        <w:t xml:space="preserve"> 60 days of project completion.</w:t>
      </w:r>
      <w:r w:rsidR="00C0051E" w:rsidRPr="00EB0264">
        <w:t xml:space="preserve"> </w:t>
      </w:r>
      <w:r w:rsidR="004A2B46">
        <w:t>Annual p</w:t>
      </w:r>
      <w:r w:rsidR="003B1B1D" w:rsidRPr="00EB0264">
        <w:t>roject reports shall be provided to the Department up to</w:t>
      </w:r>
      <w:r w:rsidR="00F62A12" w:rsidRPr="00EB0264">
        <w:t xml:space="preserve"> </w:t>
      </w:r>
      <w:r w:rsidR="00D05474" w:rsidRPr="00EB0264">
        <w:t>five</w:t>
      </w:r>
      <w:r w:rsidR="00F62A12" w:rsidRPr="00EB0264">
        <w:t xml:space="preserve"> years following the conclusion of the Funding Agreement to ensure compliance with the requirement to remain operational for a period of at least </w:t>
      </w:r>
      <w:r w:rsidR="00D05474" w:rsidRPr="00EB0264">
        <w:t>five</w:t>
      </w:r>
      <w:r w:rsidR="00F62A12" w:rsidRPr="00EB0264">
        <w:t xml:space="preserve"> years following completion of the project.</w:t>
      </w:r>
    </w:p>
    <w:p w14:paraId="35EC2B21" w14:textId="77777777" w:rsidR="00C0051E" w:rsidRPr="00EB0264" w:rsidRDefault="00881B1F" w:rsidP="00EB0264">
      <w:pPr>
        <w:spacing w:after="120"/>
      </w:pPr>
      <w:r w:rsidRPr="00EB0264">
        <w:t xml:space="preserve">The </w:t>
      </w:r>
      <w:r w:rsidR="00C80292" w:rsidRPr="00EB0264">
        <w:t xml:space="preserve">Department </w:t>
      </w:r>
      <w:r w:rsidR="00C0051E" w:rsidRPr="00EB0264">
        <w:t xml:space="preserve">reserves the right to undertake an audit of the project to monitor progress and / or appoint an independent advisor to undertake an </w:t>
      </w:r>
      <w:r w:rsidR="006659F1" w:rsidRPr="00EB0264">
        <w:t xml:space="preserve">audit </w:t>
      </w:r>
      <w:r w:rsidR="00C0051E" w:rsidRPr="00EB0264">
        <w:t xml:space="preserve">of </w:t>
      </w:r>
      <w:r w:rsidR="006659F1" w:rsidRPr="00EB0264">
        <w:t xml:space="preserve">approved </w:t>
      </w:r>
      <w:r w:rsidR="00C0051E" w:rsidRPr="00EB0264">
        <w:t>projects</w:t>
      </w:r>
      <w:r w:rsidR="006659F1" w:rsidRPr="00EB0264">
        <w:t xml:space="preserve"> at any time during the term of the </w:t>
      </w:r>
      <w:r w:rsidR="00E311FE" w:rsidRPr="00EB0264">
        <w:t>f</w:t>
      </w:r>
      <w:r w:rsidR="006659F1" w:rsidRPr="00EB0264">
        <w:t xml:space="preserve">unding </w:t>
      </w:r>
      <w:r w:rsidR="00E311FE" w:rsidRPr="00EB0264">
        <w:t>a</w:t>
      </w:r>
      <w:r w:rsidR="006659F1" w:rsidRPr="00EB0264">
        <w:t>greement</w:t>
      </w:r>
      <w:r w:rsidR="00301ED6" w:rsidRPr="00EB0264">
        <w:t>.</w:t>
      </w:r>
    </w:p>
    <w:p w14:paraId="403F4E5B" w14:textId="77777777" w:rsidR="00C0051E" w:rsidRPr="0040698F" w:rsidRDefault="006B3920" w:rsidP="0040698F">
      <w:pPr>
        <w:pStyle w:val="Heading1"/>
        <w:rPr>
          <w:lang w:eastAsia="en-AU"/>
        </w:rPr>
      </w:pPr>
      <w:bookmarkStart w:id="12" w:name="_Toc146102973"/>
      <w:r>
        <w:rPr>
          <w:lang w:eastAsia="en-AU"/>
        </w:rPr>
        <w:t xml:space="preserve">6. </w:t>
      </w:r>
      <w:r>
        <w:rPr>
          <w:lang w:eastAsia="en-AU"/>
        </w:rPr>
        <w:tab/>
      </w:r>
      <w:r w:rsidR="00C0051E" w:rsidRPr="005F480E">
        <w:rPr>
          <w:lang w:eastAsia="en-AU"/>
        </w:rPr>
        <w:t xml:space="preserve">Application and </w:t>
      </w:r>
      <w:r w:rsidR="00AC6C9E">
        <w:rPr>
          <w:lang w:eastAsia="en-AU"/>
        </w:rPr>
        <w:t xml:space="preserve">panel </w:t>
      </w:r>
      <w:r w:rsidR="00C0051E" w:rsidRPr="005F480E">
        <w:rPr>
          <w:lang w:eastAsia="en-AU"/>
        </w:rPr>
        <w:t>assessment process</w:t>
      </w:r>
      <w:bookmarkEnd w:id="12"/>
    </w:p>
    <w:p w14:paraId="57ADC9D5" w14:textId="19F4327E" w:rsidR="003077A4" w:rsidRPr="00EB0264" w:rsidRDefault="008A231B" w:rsidP="00EB0264">
      <w:pPr>
        <w:spacing w:after="120"/>
      </w:pPr>
      <w:r w:rsidRPr="00B40B0D">
        <w:t>Applications must be made by completing the application process set out on the</w:t>
      </w:r>
      <w:r w:rsidR="00626AC3" w:rsidRPr="00B40B0D">
        <w:t xml:space="preserve"> website.</w:t>
      </w:r>
      <w:r w:rsidR="00C80292" w:rsidRPr="00B40B0D">
        <w:t xml:space="preserve"> </w:t>
      </w:r>
      <w:r w:rsidR="0038035D" w:rsidRPr="00B40B0D">
        <w:t>Applications will open</w:t>
      </w:r>
      <w:r w:rsidR="00A01A50" w:rsidRPr="00B40B0D">
        <w:t xml:space="preserve"> on </w:t>
      </w:r>
      <w:r w:rsidR="001A156F" w:rsidRPr="001A156F">
        <w:t xml:space="preserve">Monday </w:t>
      </w:r>
      <w:r w:rsidR="00832582">
        <w:t>25</w:t>
      </w:r>
      <w:r w:rsidR="00832582" w:rsidRPr="001A156F">
        <w:t xml:space="preserve"> </w:t>
      </w:r>
      <w:r w:rsidR="001A156F" w:rsidRPr="001A156F">
        <w:t>October</w:t>
      </w:r>
      <w:r w:rsidR="00070500" w:rsidRPr="001A156F">
        <w:t xml:space="preserve"> 2023</w:t>
      </w:r>
      <w:r w:rsidR="00C96B3C" w:rsidRPr="001A156F">
        <w:t xml:space="preserve"> at </w:t>
      </w:r>
      <w:r w:rsidR="00123C07" w:rsidRPr="001A156F">
        <w:t>10</w:t>
      </w:r>
      <w:r w:rsidR="00C96B3C" w:rsidRPr="001A156F">
        <w:t>:00am (ACST)</w:t>
      </w:r>
      <w:r w:rsidR="00014C45" w:rsidRPr="001A156F">
        <w:t xml:space="preserve"> and close on </w:t>
      </w:r>
      <w:r w:rsidR="001A156F" w:rsidRPr="001A156F">
        <w:t xml:space="preserve">Monday </w:t>
      </w:r>
      <w:r w:rsidR="00832582">
        <w:t>15</w:t>
      </w:r>
      <w:r w:rsidR="00832582" w:rsidRPr="001A156F">
        <w:t xml:space="preserve"> </w:t>
      </w:r>
      <w:r w:rsidR="00832582">
        <w:t xml:space="preserve">January </w:t>
      </w:r>
      <w:r w:rsidR="00014C45" w:rsidRPr="001A156F">
        <w:t>202</w:t>
      </w:r>
      <w:r w:rsidR="00832582">
        <w:t>4</w:t>
      </w:r>
      <w:r w:rsidR="00C96B3C" w:rsidRPr="001A156F">
        <w:t xml:space="preserve"> at </w:t>
      </w:r>
      <w:r w:rsidR="00B40B0D" w:rsidRPr="001A156F">
        <w:t>5</w:t>
      </w:r>
      <w:r w:rsidR="00C96B3C" w:rsidRPr="001A156F">
        <w:t>:00pm (ACST)</w:t>
      </w:r>
      <w:r w:rsidR="00A01A50" w:rsidRPr="001A156F">
        <w:t xml:space="preserve">. </w:t>
      </w:r>
      <w:r w:rsidR="0038035D" w:rsidRPr="001A156F">
        <w:t>La</w:t>
      </w:r>
      <w:r w:rsidR="0038035D" w:rsidRPr="00B40B0D">
        <w:t>te submissions will be excluded from the first round of assessments, however additional assessment round/s may be</w:t>
      </w:r>
      <w:r w:rsidR="0038035D" w:rsidRPr="00EB0264">
        <w:t xml:space="preserve"> offered if the grant funding pool is not completely committed from assessmen</w:t>
      </w:r>
      <w:r w:rsidR="0056061A" w:rsidRPr="00EB0264">
        <w:t xml:space="preserve">t of first round applications. </w:t>
      </w:r>
      <w:r w:rsidR="00AE0073" w:rsidRPr="00EB0264">
        <w:t>Any information in that regard will be published on the</w:t>
      </w:r>
      <w:r w:rsidR="00870A45" w:rsidRPr="00EB0264">
        <w:t xml:space="preserve"> website. </w:t>
      </w:r>
    </w:p>
    <w:p w14:paraId="4124C2E0" w14:textId="77777777" w:rsidR="00CF208D" w:rsidRPr="00EB0264" w:rsidRDefault="006B6897" w:rsidP="00EB0264">
      <w:pPr>
        <w:spacing w:after="120"/>
      </w:pPr>
      <w:r w:rsidRPr="00EB0264">
        <w:t xml:space="preserve">There is a two stage assessment </w:t>
      </w:r>
      <w:r w:rsidR="00CF208D" w:rsidRPr="00EB0264">
        <w:t>process:</w:t>
      </w:r>
      <w:r w:rsidRPr="00EB0264">
        <w:t xml:space="preserve"> </w:t>
      </w:r>
    </w:p>
    <w:p w14:paraId="3A54E4B1" w14:textId="77777777" w:rsidR="00CF208D" w:rsidRPr="00EB0264" w:rsidRDefault="00CF208D" w:rsidP="00EB0264">
      <w:pPr>
        <w:spacing w:after="120"/>
      </w:pPr>
      <w:r w:rsidRPr="00EB0264">
        <w:rPr>
          <w:b/>
        </w:rPr>
        <w:t xml:space="preserve">Stage 1 </w:t>
      </w:r>
      <w:r w:rsidR="006B6897" w:rsidRPr="00EB0264">
        <w:t xml:space="preserve">Applications </w:t>
      </w:r>
      <w:r w:rsidRPr="00EB0264">
        <w:t xml:space="preserve">undergo an </w:t>
      </w:r>
      <w:r w:rsidR="006B6897" w:rsidRPr="00EB0264">
        <w:t>initial due diligence process (determination of eligibility of both organisation and project)</w:t>
      </w:r>
      <w:r w:rsidR="007D2796">
        <w:t xml:space="preserve">. </w:t>
      </w:r>
      <w:r w:rsidR="007D2796" w:rsidRPr="00EB0264">
        <w:t>Applicants will be notified if their application will proceed to Stage 2.</w:t>
      </w:r>
    </w:p>
    <w:p w14:paraId="65D6218E" w14:textId="77777777" w:rsidR="006B6897" w:rsidRPr="00EB0264" w:rsidRDefault="00CF208D" w:rsidP="00EB0264">
      <w:pPr>
        <w:spacing w:after="120"/>
      </w:pPr>
      <w:r w:rsidRPr="00EB0264">
        <w:rPr>
          <w:b/>
        </w:rPr>
        <w:t>Stage 2</w:t>
      </w:r>
      <w:r w:rsidR="006B6897" w:rsidRPr="00EB0264">
        <w:t xml:space="preserve"> </w:t>
      </w:r>
      <w:r w:rsidRPr="00EB0264">
        <w:t xml:space="preserve">Applications deemed eligible in Stage 1 </w:t>
      </w:r>
      <w:r w:rsidR="006B6897" w:rsidRPr="00EB0264">
        <w:t xml:space="preserve">will be referred to the Panel for </w:t>
      </w:r>
      <w:r w:rsidRPr="00EB0264">
        <w:t xml:space="preserve">competitive </w:t>
      </w:r>
      <w:r w:rsidR="006B6897" w:rsidRPr="00EB0264">
        <w:t xml:space="preserve">assessment using the criteria set out </w:t>
      </w:r>
      <w:r w:rsidRPr="00EB0264">
        <w:t>in Section 7</w:t>
      </w:r>
      <w:r w:rsidR="006B6897" w:rsidRPr="00EB0264">
        <w:t xml:space="preserve">.  </w:t>
      </w:r>
    </w:p>
    <w:p w14:paraId="62D23AD2" w14:textId="77777777" w:rsidR="00D3025F" w:rsidRPr="00EB0264" w:rsidRDefault="00D3025F" w:rsidP="00EB0264">
      <w:pPr>
        <w:spacing w:after="120"/>
        <w:rPr>
          <w:color w:val="222222"/>
        </w:rPr>
      </w:pPr>
      <w:r w:rsidRPr="00EB0264">
        <w:t xml:space="preserve">Once applications have been assessed by the Panel </w:t>
      </w:r>
      <w:r w:rsidR="00CF208D" w:rsidRPr="00EB0264">
        <w:t>(</w:t>
      </w:r>
      <w:r w:rsidRPr="00EB0264">
        <w:t>Stage 2</w:t>
      </w:r>
      <w:r w:rsidR="00CF208D" w:rsidRPr="00EB0264">
        <w:t>)</w:t>
      </w:r>
      <w:r w:rsidRPr="00EB0264">
        <w:t xml:space="preserve">, recommendation/s will be made by the Panel to the Department and </w:t>
      </w:r>
      <w:r w:rsidR="00CF208D" w:rsidRPr="00EB0264">
        <w:t xml:space="preserve">reviewed by </w:t>
      </w:r>
      <w:r w:rsidR="00955324" w:rsidRPr="00EB0264">
        <w:t>the CEO,</w:t>
      </w:r>
      <w:r w:rsidRPr="00EB0264">
        <w:t xml:space="preserve"> after which a decision will be made by the </w:t>
      </w:r>
      <w:r w:rsidR="00C80292" w:rsidRPr="00EB0264">
        <w:t>Department</w:t>
      </w:r>
      <w:r w:rsidR="00CF208D" w:rsidRPr="00EB0264">
        <w:t>.</w:t>
      </w:r>
      <w:r w:rsidR="00C80292" w:rsidRPr="00EB0264">
        <w:t xml:space="preserve"> </w:t>
      </w:r>
      <w:r w:rsidR="00CF208D" w:rsidRPr="00EB0264">
        <w:t>P</w:t>
      </w:r>
      <w:r w:rsidRPr="00EB0264">
        <w:t xml:space="preserve">rojects may be made public by the </w:t>
      </w:r>
      <w:r w:rsidR="00C80292" w:rsidRPr="00EB0264">
        <w:t>Department</w:t>
      </w:r>
      <w:r w:rsidRPr="00EB0264">
        <w:t>.</w:t>
      </w:r>
      <w:r w:rsidRPr="00EB0264">
        <w:rPr>
          <w:color w:val="222222"/>
        </w:rPr>
        <w:t xml:space="preserve">  </w:t>
      </w:r>
      <w:r w:rsidRPr="00EB0264">
        <w:rPr>
          <w:color w:val="222222"/>
        </w:rPr>
        <w:br/>
      </w:r>
      <w:r w:rsidRPr="00EB0264">
        <w:rPr>
          <w:color w:val="222222"/>
        </w:rPr>
        <w:br/>
        <w:t xml:space="preserve">The decision </w:t>
      </w:r>
      <w:r w:rsidR="00CF208D" w:rsidRPr="00EB0264">
        <w:rPr>
          <w:color w:val="222222"/>
        </w:rPr>
        <w:t xml:space="preserve">conveyed to the applicant </w:t>
      </w:r>
      <w:r w:rsidRPr="00EB0264">
        <w:rPr>
          <w:color w:val="222222"/>
        </w:rPr>
        <w:t xml:space="preserve">is final and binding at every Stage and no </w:t>
      </w:r>
      <w:r w:rsidR="00CF208D" w:rsidRPr="00EB0264">
        <w:rPr>
          <w:color w:val="222222"/>
        </w:rPr>
        <w:t xml:space="preserve">further </w:t>
      </w:r>
      <w:r w:rsidRPr="00EB0264">
        <w:rPr>
          <w:color w:val="222222"/>
        </w:rPr>
        <w:t>discussions will be entered into.</w:t>
      </w:r>
    </w:p>
    <w:p w14:paraId="36277C42" w14:textId="77777777" w:rsidR="00EF2978" w:rsidRPr="00EB0264" w:rsidRDefault="00EF2978" w:rsidP="00EB0264">
      <w:pPr>
        <w:spacing w:after="120"/>
        <w:rPr>
          <w:b/>
        </w:rPr>
      </w:pPr>
      <w:r w:rsidRPr="00EB0264">
        <w:rPr>
          <w:b/>
        </w:rPr>
        <w:t>All projects must be completed and operational by 30 June 202</w:t>
      </w:r>
      <w:r w:rsidR="00955324" w:rsidRPr="00EB0264">
        <w:rPr>
          <w:b/>
        </w:rPr>
        <w:t>5</w:t>
      </w:r>
      <w:r w:rsidR="00856C76">
        <w:rPr>
          <w:b/>
        </w:rPr>
        <w:t xml:space="preserve">. </w:t>
      </w:r>
    </w:p>
    <w:p w14:paraId="23D6AE05" w14:textId="77777777" w:rsidR="00FA5019" w:rsidRPr="00EB0264" w:rsidRDefault="00FA5019" w:rsidP="00EB0264">
      <w:pPr>
        <w:autoSpaceDE w:val="0"/>
        <w:autoSpaceDN w:val="0"/>
        <w:adjustRightInd w:val="0"/>
        <w:spacing w:after="120"/>
        <w:rPr>
          <w:bCs/>
        </w:rPr>
      </w:pPr>
      <w:r w:rsidRPr="00EB0264">
        <w:rPr>
          <w:bCs/>
        </w:rPr>
        <w:t xml:space="preserve">The </w:t>
      </w:r>
      <w:r w:rsidR="00EF2978" w:rsidRPr="00EB0264">
        <w:rPr>
          <w:bCs/>
        </w:rPr>
        <w:t>Department</w:t>
      </w:r>
      <w:r w:rsidR="00C80292" w:rsidRPr="00EB0264">
        <w:rPr>
          <w:bCs/>
        </w:rPr>
        <w:t xml:space="preserve"> </w:t>
      </w:r>
      <w:r w:rsidR="003F3148" w:rsidRPr="00EB0264">
        <w:rPr>
          <w:bCs/>
        </w:rPr>
        <w:t>reserves the right to</w:t>
      </w:r>
      <w:r w:rsidR="00F96724" w:rsidRPr="00EB0264">
        <w:rPr>
          <w:bCs/>
        </w:rPr>
        <w:t xml:space="preserve"> offer</w:t>
      </w:r>
      <w:r w:rsidR="003F3148" w:rsidRPr="00EB0264">
        <w:rPr>
          <w:bCs/>
        </w:rPr>
        <w:t xml:space="preserve"> grant funding in a different amount</w:t>
      </w:r>
      <w:r w:rsidRPr="00EB0264">
        <w:rPr>
          <w:bCs/>
        </w:rPr>
        <w:t xml:space="preserve"> to that requested and upon such</w:t>
      </w:r>
      <w:r w:rsidR="00EF2978" w:rsidRPr="00EB0264">
        <w:rPr>
          <w:bCs/>
        </w:rPr>
        <w:t xml:space="preserve"> term</w:t>
      </w:r>
      <w:r w:rsidRPr="00EB0264">
        <w:rPr>
          <w:bCs/>
        </w:rPr>
        <w:t xml:space="preserve">s and conditions of the </w:t>
      </w:r>
      <w:r w:rsidR="00CC714E" w:rsidRPr="00EB0264">
        <w:rPr>
          <w:bCs/>
        </w:rPr>
        <w:t>f</w:t>
      </w:r>
      <w:r w:rsidRPr="00EB0264">
        <w:rPr>
          <w:bCs/>
        </w:rPr>
        <w:t xml:space="preserve">unding </w:t>
      </w:r>
      <w:r w:rsidR="00CC714E" w:rsidRPr="00EB0264">
        <w:rPr>
          <w:bCs/>
        </w:rPr>
        <w:t>a</w:t>
      </w:r>
      <w:r w:rsidRPr="00EB0264">
        <w:rPr>
          <w:bCs/>
        </w:rPr>
        <w:t>greement that it determines in its absolute discretion.</w:t>
      </w:r>
      <w:r w:rsidR="003F3148" w:rsidRPr="00EB0264">
        <w:rPr>
          <w:bCs/>
        </w:rPr>
        <w:t xml:space="preserve"> </w:t>
      </w:r>
    </w:p>
    <w:p w14:paraId="7DDEB893" w14:textId="77777777" w:rsidR="008F3410" w:rsidRPr="005675E3" w:rsidRDefault="005675E3" w:rsidP="0040698F">
      <w:pPr>
        <w:pStyle w:val="Heading1"/>
        <w:rPr>
          <w:lang w:eastAsia="en-AU"/>
        </w:rPr>
      </w:pPr>
      <w:bookmarkStart w:id="13" w:name="_Toc146102974"/>
      <w:r>
        <w:rPr>
          <w:lang w:eastAsia="en-AU"/>
        </w:rPr>
        <w:t xml:space="preserve">7. </w:t>
      </w:r>
      <w:r>
        <w:rPr>
          <w:lang w:eastAsia="en-AU"/>
        </w:rPr>
        <w:tab/>
      </w:r>
      <w:r w:rsidR="008F3410" w:rsidRPr="005675E3">
        <w:rPr>
          <w:lang w:eastAsia="en-AU"/>
        </w:rPr>
        <w:t>Assessment Criteria</w:t>
      </w:r>
      <w:bookmarkEnd w:id="13"/>
      <w:r w:rsidR="008F3410" w:rsidRPr="005675E3">
        <w:rPr>
          <w:lang w:eastAsia="en-AU"/>
        </w:rPr>
        <w:t xml:space="preserve"> </w:t>
      </w:r>
    </w:p>
    <w:p w14:paraId="645BD989" w14:textId="77777777" w:rsidR="007D3C83" w:rsidRPr="00EB0264" w:rsidRDefault="007D3C83" w:rsidP="00EB0264">
      <w:pPr>
        <w:spacing w:after="120"/>
      </w:pPr>
      <w:r w:rsidRPr="00EB0264">
        <w:t xml:space="preserve">Proposals will be assessed </w:t>
      </w:r>
      <w:r w:rsidR="004129A0" w:rsidRPr="00EB0264">
        <w:t xml:space="preserve">by the Panel </w:t>
      </w:r>
      <w:r w:rsidRPr="00EB0264">
        <w:t xml:space="preserve">against the following criteria at the assessment stage. The information required to respond to each criteria will be included in the application form. </w:t>
      </w:r>
    </w:p>
    <w:tbl>
      <w:tblPr>
        <w:tblStyle w:val="TableGrid"/>
        <w:tblW w:w="0" w:type="auto"/>
        <w:tblLook w:val="04A0" w:firstRow="1" w:lastRow="0" w:firstColumn="1" w:lastColumn="0" w:noHBand="0" w:noVBand="1"/>
      </w:tblPr>
      <w:tblGrid>
        <w:gridCol w:w="1696"/>
        <w:gridCol w:w="6946"/>
        <w:gridCol w:w="1666"/>
      </w:tblGrid>
      <w:tr w:rsidR="008F3410" w:rsidRPr="00EB0264" w14:paraId="3CE1B4D5" w14:textId="77777777" w:rsidTr="00173EE9">
        <w:tc>
          <w:tcPr>
            <w:tcW w:w="1696" w:type="dxa"/>
            <w:vAlign w:val="center"/>
          </w:tcPr>
          <w:p w14:paraId="32B5399B" w14:textId="77777777" w:rsidR="008F3410" w:rsidRPr="00EB0264" w:rsidRDefault="008F3410" w:rsidP="00EB0264">
            <w:pPr>
              <w:spacing w:after="120"/>
              <w:rPr>
                <w:b/>
              </w:rPr>
            </w:pPr>
            <w:r w:rsidRPr="00EB0264">
              <w:rPr>
                <w:b/>
              </w:rPr>
              <w:t>Criterion #</w:t>
            </w:r>
          </w:p>
        </w:tc>
        <w:tc>
          <w:tcPr>
            <w:tcW w:w="6946" w:type="dxa"/>
            <w:vAlign w:val="center"/>
          </w:tcPr>
          <w:p w14:paraId="6D6FCB2B" w14:textId="77777777" w:rsidR="008F3410" w:rsidRPr="00EB0264" w:rsidRDefault="008F3410" w:rsidP="00EB0264">
            <w:pPr>
              <w:spacing w:after="120"/>
              <w:rPr>
                <w:b/>
              </w:rPr>
            </w:pPr>
            <w:r w:rsidRPr="00EB0264">
              <w:rPr>
                <w:b/>
              </w:rPr>
              <w:t xml:space="preserve">Criteria </w:t>
            </w:r>
          </w:p>
        </w:tc>
        <w:tc>
          <w:tcPr>
            <w:tcW w:w="1666" w:type="dxa"/>
            <w:vAlign w:val="center"/>
          </w:tcPr>
          <w:p w14:paraId="74D224FB" w14:textId="77777777" w:rsidR="008F3410" w:rsidRPr="00EB0264" w:rsidRDefault="008F3410" w:rsidP="00EB0264">
            <w:pPr>
              <w:spacing w:after="120"/>
              <w:rPr>
                <w:b/>
              </w:rPr>
            </w:pPr>
            <w:r w:rsidRPr="00EB0264">
              <w:rPr>
                <w:b/>
              </w:rPr>
              <w:t xml:space="preserve">Weighting </w:t>
            </w:r>
          </w:p>
        </w:tc>
      </w:tr>
      <w:tr w:rsidR="00870A45" w:rsidRPr="00EB0264" w14:paraId="0299FA05" w14:textId="77777777" w:rsidTr="0022207F">
        <w:tc>
          <w:tcPr>
            <w:tcW w:w="1696" w:type="dxa"/>
          </w:tcPr>
          <w:p w14:paraId="39E32EC3" w14:textId="77777777" w:rsidR="00870A45" w:rsidRPr="00EB0264" w:rsidRDefault="00870A45" w:rsidP="00EB0264">
            <w:pPr>
              <w:spacing w:after="120"/>
            </w:pPr>
            <w:r w:rsidRPr="00EB0264">
              <w:t>1</w:t>
            </w:r>
          </w:p>
        </w:tc>
        <w:tc>
          <w:tcPr>
            <w:tcW w:w="6946" w:type="dxa"/>
          </w:tcPr>
          <w:p w14:paraId="5B85D172" w14:textId="77777777" w:rsidR="00870A45" w:rsidRPr="00EB0264" w:rsidRDefault="00870A45" w:rsidP="00EB0264">
            <w:pPr>
              <w:spacing w:after="120"/>
              <w:rPr>
                <w:b/>
              </w:rPr>
            </w:pPr>
            <w:r w:rsidRPr="00EB0264">
              <w:rPr>
                <w:b/>
              </w:rPr>
              <w:t xml:space="preserve">Increase in processing capacity and use of one or more </w:t>
            </w:r>
            <w:r w:rsidR="00955324" w:rsidRPr="00EB0264">
              <w:rPr>
                <w:b/>
              </w:rPr>
              <w:t xml:space="preserve">waste </w:t>
            </w:r>
            <w:r w:rsidRPr="00EB0264">
              <w:rPr>
                <w:b/>
              </w:rPr>
              <w:t>materials including:</w:t>
            </w:r>
          </w:p>
          <w:p w14:paraId="37C0DDC1" w14:textId="77777777" w:rsidR="00870A45" w:rsidRPr="00EB0264" w:rsidRDefault="00870A45" w:rsidP="00EB0264">
            <w:pPr>
              <w:pStyle w:val="ListParagraph"/>
              <w:numPr>
                <w:ilvl w:val="0"/>
                <w:numId w:val="14"/>
              </w:numPr>
              <w:spacing w:after="60"/>
              <w:ind w:left="714" w:hanging="357"/>
            </w:pPr>
            <w:r w:rsidRPr="00EB0264">
              <w:t>increasing the value of new products produced from the processed or remanufactured waste</w:t>
            </w:r>
          </w:p>
          <w:p w14:paraId="7D07F8B2" w14:textId="77777777" w:rsidR="00870A45" w:rsidRPr="00EB0264" w:rsidRDefault="00870A45" w:rsidP="00EB0264">
            <w:pPr>
              <w:pStyle w:val="ListParagraph"/>
              <w:numPr>
                <w:ilvl w:val="0"/>
                <w:numId w:val="14"/>
              </w:numPr>
              <w:spacing w:after="60"/>
              <w:ind w:left="714" w:hanging="357"/>
            </w:pPr>
            <w:r w:rsidRPr="00EB0264">
              <w:t>development of waste industry supply chain and secondary markets</w:t>
            </w:r>
          </w:p>
          <w:p w14:paraId="35DCBEB9" w14:textId="77777777" w:rsidR="00870A45" w:rsidRPr="00EB0264" w:rsidRDefault="00870A45" w:rsidP="00EB0264">
            <w:pPr>
              <w:pStyle w:val="ListParagraph"/>
              <w:numPr>
                <w:ilvl w:val="0"/>
                <w:numId w:val="14"/>
              </w:numPr>
              <w:spacing w:after="60"/>
              <w:ind w:left="714" w:hanging="357"/>
            </w:pPr>
            <w:r w:rsidRPr="00EB0264">
              <w:lastRenderedPageBreak/>
              <w:t>access to offtake markets similarly demonstrated through Heads of Agreement, Letters of Support, Memorandums of Understanding or similar</w:t>
            </w:r>
          </w:p>
        </w:tc>
        <w:tc>
          <w:tcPr>
            <w:tcW w:w="1666" w:type="dxa"/>
          </w:tcPr>
          <w:p w14:paraId="708D94FF" w14:textId="77777777" w:rsidR="00870A45" w:rsidRPr="00EB0264" w:rsidRDefault="00870A45" w:rsidP="00EB0264">
            <w:pPr>
              <w:spacing w:after="120"/>
            </w:pPr>
            <w:r w:rsidRPr="00EB0264">
              <w:lastRenderedPageBreak/>
              <w:t>30%</w:t>
            </w:r>
          </w:p>
        </w:tc>
      </w:tr>
      <w:tr w:rsidR="008F3410" w:rsidRPr="00EB0264" w14:paraId="28AFF22C" w14:textId="77777777" w:rsidTr="00173EE9">
        <w:tc>
          <w:tcPr>
            <w:tcW w:w="1696" w:type="dxa"/>
          </w:tcPr>
          <w:p w14:paraId="68193D33" w14:textId="77777777" w:rsidR="008F3410" w:rsidRPr="00EB0264" w:rsidRDefault="00870A45" w:rsidP="00EB0264">
            <w:pPr>
              <w:spacing w:after="120"/>
            </w:pPr>
            <w:r w:rsidRPr="00EB0264">
              <w:t>2</w:t>
            </w:r>
          </w:p>
        </w:tc>
        <w:tc>
          <w:tcPr>
            <w:tcW w:w="6946" w:type="dxa"/>
          </w:tcPr>
          <w:p w14:paraId="2B4DADE4" w14:textId="77777777" w:rsidR="008F3410" w:rsidRPr="00EB0264" w:rsidRDefault="005675E3" w:rsidP="00EB0264">
            <w:pPr>
              <w:spacing w:after="120"/>
              <w:rPr>
                <w:b/>
              </w:rPr>
            </w:pPr>
            <w:r w:rsidRPr="00EB0264">
              <w:rPr>
                <w:b/>
              </w:rPr>
              <w:t xml:space="preserve">Benefits of project </w:t>
            </w:r>
            <w:r w:rsidR="003B1D6A">
              <w:rPr>
                <w:b/>
              </w:rPr>
              <w:t>in</w:t>
            </w:r>
            <w:r w:rsidRPr="00EB0264">
              <w:rPr>
                <w:b/>
              </w:rPr>
              <w:t xml:space="preserve"> creating a circular economy and supporting </w:t>
            </w:r>
            <w:r w:rsidR="006B2841" w:rsidRPr="00EB0264">
              <w:rPr>
                <w:b/>
              </w:rPr>
              <w:t xml:space="preserve">the </w:t>
            </w:r>
            <w:r w:rsidRPr="00EB0264">
              <w:rPr>
                <w:b/>
              </w:rPr>
              <w:t>NT Circular Economy Strategy</w:t>
            </w:r>
            <w:r w:rsidR="00955324" w:rsidRPr="00EB0264">
              <w:rPr>
                <w:b/>
              </w:rPr>
              <w:t xml:space="preserve"> 2022-27</w:t>
            </w:r>
            <w:r w:rsidRPr="00EB0264">
              <w:rPr>
                <w:b/>
              </w:rPr>
              <w:t xml:space="preserve"> </w:t>
            </w:r>
            <w:r w:rsidR="00BB221F" w:rsidRPr="00EB0264">
              <w:rPr>
                <w:b/>
              </w:rPr>
              <w:t>including:</w:t>
            </w:r>
          </w:p>
          <w:p w14:paraId="5E14BE92" w14:textId="77777777" w:rsidR="00732628" w:rsidRPr="00EB0264" w:rsidRDefault="00732628" w:rsidP="00EB0264">
            <w:pPr>
              <w:pStyle w:val="ListParagraph"/>
              <w:numPr>
                <w:ilvl w:val="0"/>
                <w:numId w:val="14"/>
              </w:numPr>
              <w:spacing w:after="60"/>
              <w:ind w:left="714" w:hanging="357"/>
            </w:pPr>
            <w:r w:rsidRPr="00EB0264">
              <w:t>acceleration of private sector investment</w:t>
            </w:r>
          </w:p>
          <w:p w14:paraId="5CDFD076" w14:textId="77777777" w:rsidR="00FC2C6D" w:rsidRPr="00EB0264" w:rsidRDefault="00FC2C6D" w:rsidP="00EB0264">
            <w:pPr>
              <w:pStyle w:val="ListParagraph"/>
              <w:numPr>
                <w:ilvl w:val="0"/>
                <w:numId w:val="14"/>
              </w:numPr>
              <w:spacing w:after="60"/>
              <w:ind w:left="714" w:hanging="357"/>
            </w:pPr>
            <w:r w:rsidRPr="00EB0264">
              <w:t>demonstrated long-term sustainability of the new operation</w:t>
            </w:r>
          </w:p>
          <w:p w14:paraId="114D2E83" w14:textId="77777777" w:rsidR="00732628" w:rsidRPr="00EB0264" w:rsidRDefault="00BA57EA" w:rsidP="00EB0264">
            <w:pPr>
              <w:pStyle w:val="ListParagraph"/>
              <w:numPr>
                <w:ilvl w:val="0"/>
                <w:numId w:val="14"/>
              </w:numPr>
              <w:spacing w:after="60"/>
              <w:ind w:left="714" w:hanging="357"/>
            </w:pPr>
            <w:r w:rsidRPr="00EB0264">
              <w:t>t</w:t>
            </w:r>
            <w:r w:rsidR="00732628" w:rsidRPr="00EB0264">
              <w:t>he contribution to transitioning the NT towards a circular economy</w:t>
            </w:r>
            <w:r w:rsidRPr="00EB0264">
              <w:t xml:space="preserve">. </w:t>
            </w:r>
            <w:r w:rsidR="00732628" w:rsidRPr="00EB0264">
              <w:t xml:space="preserve"> </w:t>
            </w:r>
          </w:p>
        </w:tc>
        <w:tc>
          <w:tcPr>
            <w:tcW w:w="1666" w:type="dxa"/>
          </w:tcPr>
          <w:p w14:paraId="58FE23CA" w14:textId="77777777" w:rsidR="008F3410" w:rsidRPr="00EB0264" w:rsidRDefault="007C2BEC" w:rsidP="00865426">
            <w:pPr>
              <w:spacing w:after="120"/>
              <w:rPr>
                <w:color w:val="FF0000"/>
              </w:rPr>
            </w:pPr>
            <w:r w:rsidRPr="00EB0264">
              <w:t>2</w:t>
            </w:r>
            <w:r w:rsidR="00865426">
              <w:t>5</w:t>
            </w:r>
            <w:r w:rsidR="005675E3" w:rsidRPr="00EB0264">
              <w:t>%</w:t>
            </w:r>
          </w:p>
        </w:tc>
      </w:tr>
      <w:tr w:rsidR="008F3410" w:rsidRPr="00EB0264" w14:paraId="1F2CCADC" w14:textId="77777777" w:rsidTr="00173EE9">
        <w:tc>
          <w:tcPr>
            <w:tcW w:w="1696" w:type="dxa"/>
          </w:tcPr>
          <w:p w14:paraId="00EA4A25" w14:textId="77777777" w:rsidR="008F3410" w:rsidRPr="00EB0264" w:rsidRDefault="0084043A" w:rsidP="00EB0264">
            <w:pPr>
              <w:spacing w:after="120"/>
            </w:pPr>
            <w:r w:rsidRPr="00EB0264">
              <w:t>3</w:t>
            </w:r>
          </w:p>
        </w:tc>
        <w:tc>
          <w:tcPr>
            <w:tcW w:w="6946" w:type="dxa"/>
          </w:tcPr>
          <w:p w14:paraId="372B1DD9" w14:textId="77777777" w:rsidR="008F3410" w:rsidRPr="00EB0264" w:rsidRDefault="005675E3" w:rsidP="00EB0264">
            <w:pPr>
              <w:spacing w:after="120"/>
              <w:rPr>
                <w:b/>
              </w:rPr>
            </w:pPr>
            <w:r w:rsidRPr="00EB0264">
              <w:rPr>
                <w:b/>
              </w:rPr>
              <w:t>Capability, capacity and resources and experience to deliver the project</w:t>
            </w:r>
            <w:r w:rsidR="00BB221F" w:rsidRPr="00EB0264">
              <w:rPr>
                <w:b/>
              </w:rPr>
              <w:t xml:space="preserve"> including:</w:t>
            </w:r>
          </w:p>
          <w:p w14:paraId="0C24CE5A" w14:textId="77777777" w:rsidR="00F96724" w:rsidRPr="00EB0264" w:rsidRDefault="00F96724" w:rsidP="00EB0264">
            <w:pPr>
              <w:pStyle w:val="ListParagraph"/>
              <w:numPr>
                <w:ilvl w:val="0"/>
                <w:numId w:val="14"/>
              </w:numPr>
              <w:spacing w:after="60"/>
              <w:ind w:left="714" w:hanging="357"/>
            </w:pPr>
            <w:r w:rsidRPr="00EB0264">
              <w:t xml:space="preserve">corporate and financial stability </w:t>
            </w:r>
            <w:r w:rsidR="002534C3" w:rsidRPr="00EB0264">
              <w:t>of applicant and satisfactory history of good governance</w:t>
            </w:r>
          </w:p>
          <w:p w14:paraId="7B0CFA54" w14:textId="77777777" w:rsidR="00A3141A" w:rsidRPr="00EB0264" w:rsidRDefault="00A3141A" w:rsidP="00EB0264">
            <w:pPr>
              <w:pStyle w:val="ListBulletIndent"/>
              <w:numPr>
                <w:ilvl w:val="0"/>
                <w:numId w:val="14"/>
              </w:numPr>
              <w:tabs>
                <w:tab w:val="clear" w:pos="357"/>
                <w:tab w:val="left" w:pos="316"/>
              </w:tabs>
              <w:spacing w:before="0"/>
              <w:ind w:left="714" w:hanging="357"/>
              <w:rPr>
                <w:rFonts w:asciiTheme="minorHAnsi" w:hAnsiTheme="minorHAnsi" w:cs="Arial"/>
                <w:color w:val="auto"/>
                <w:szCs w:val="22"/>
              </w:rPr>
            </w:pPr>
            <w:r w:rsidRPr="00EB0264">
              <w:rPr>
                <w:rFonts w:asciiTheme="minorHAnsi" w:hAnsiTheme="minorHAnsi" w:cs="Arial"/>
                <w:color w:val="auto"/>
                <w:szCs w:val="22"/>
              </w:rPr>
              <w:t>access to feedstocks demonstrated through Heads of Agreement, Letters of Support, Memorandum of Understanding or similar</w:t>
            </w:r>
          </w:p>
          <w:p w14:paraId="3BEC6C17" w14:textId="77777777" w:rsidR="00A8545F" w:rsidRPr="00EB0264" w:rsidRDefault="00A8545F" w:rsidP="00EB0264">
            <w:pPr>
              <w:pStyle w:val="ListParagraph"/>
              <w:numPr>
                <w:ilvl w:val="0"/>
                <w:numId w:val="14"/>
              </w:numPr>
              <w:spacing w:after="60"/>
            </w:pPr>
            <w:r w:rsidRPr="00EB0264">
              <w:t xml:space="preserve">access to secure and confirmed financial </w:t>
            </w:r>
            <w:r w:rsidR="004129A0" w:rsidRPr="00EB0264">
              <w:t>re</w:t>
            </w:r>
            <w:r w:rsidRPr="00EB0264">
              <w:t>sources to deliver the project</w:t>
            </w:r>
          </w:p>
          <w:p w14:paraId="77FB86B1" w14:textId="77777777" w:rsidR="0084043A" w:rsidRPr="00EB0264" w:rsidRDefault="00A8545F" w:rsidP="00EB0264">
            <w:pPr>
              <w:pStyle w:val="ListParagraph"/>
              <w:numPr>
                <w:ilvl w:val="0"/>
                <w:numId w:val="14"/>
              </w:numPr>
              <w:spacing w:after="60"/>
            </w:pPr>
            <w:r w:rsidRPr="00EB0264">
              <w:t>ability to secure all necessary planning and environmental approvals and other licences / permits as required within a reasonable timeframe</w:t>
            </w:r>
          </w:p>
          <w:p w14:paraId="076B3A6D" w14:textId="77777777" w:rsidR="00D85B46" w:rsidRPr="00EB0264" w:rsidRDefault="00D85B46" w:rsidP="00EB0264">
            <w:pPr>
              <w:pStyle w:val="ListParagraph"/>
              <w:numPr>
                <w:ilvl w:val="0"/>
                <w:numId w:val="14"/>
              </w:numPr>
              <w:spacing w:after="60"/>
            </w:pPr>
            <w:r w:rsidRPr="00EB0264">
              <w:t>demonstrated experience and capability in delivering similar projects</w:t>
            </w:r>
          </w:p>
          <w:p w14:paraId="37AD2078" w14:textId="77777777" w:rsidR="00B9024D" w:rsidRPr="00EB0264" w:rsidRDefault="00B9024D" w:rsidP="00EB0264">
            <w:pPr>
              <w:pStyle w:val="ListParagraph"/>
              <w:numPr>
                <w:ilvl w:val="0"/>
                <w:numId w:val="14"/>
              </w:numPr>
              <w:spacing w:after="60"/>
            </w:pPr>
            <w:r w:rsidRPr="00EB0264">
              <w:t xml:space="preserve">comprehensive project plan </w:t>
            </w:r>
          </w:p>
          <w:p w14:paraId="07C37044" w14:textId="77777777" w:rsidR="00B9024D" w:rsidRPr="00EB0264" w:rsidRDefault="00B9024D" w:rsidP="00EB0264">
            <w:pPr>
              <w:pStyle w:val="ListParagraph"/>
              <w:numPr>
                <w:ilvl w:val="0"/>
                <w:numId w:val="14"/>
              </w:numPr>
              <w:spacing w:after="60"/>
            </w:pPr>
            <w:r w:rsidRPr="00EB0264">
              <w:t>well considered risk identification and management plan</w:t>
            </w:r>
          </w:p>
          <w:p w14:paraId="6FB69DEB" w14:textId="77777777" w:rsidR="00A8545F" w:rsidRPr="00EB0264" w:rsidRDefault="00A8545F" w:rsidP="00EB0264">
            <w:pPr>
              <w:pStyle w:val="ListParagraph"/>
              <w:numPr>
                <w:ilvl w:val="0"/>
                <w:numId w:val="14"/>
              </w:numPr>
              <w:spacing w:after="60"/>
            </w:pPr>
            <w:r w:rsidRPr="00EB0264">
              <w:t>demonstrating regulatory compliance</w:t>
            </w:r>
          </w:p>
          <w:p w14:paraId="4BD52992" w14:textId="77777777" w:rsidR="008847CA" w:rsidRPr="00EB0264" w:rsidRDefault="008847CA" w:rsidP="00EB0264">
            <w:pPr>
              <w:pStyle w:val="ListParagraph"/>
              <w:numPr>
                <w:ilvl w:val="0"/>
                <w:numId w:val="14"/>
              </w:numPr>
              <w:spacing w:after="60"/>
            </w:pPr>
            <w:r w:rsidRPr="00EB0264">
              <w:t xml:space="preserve">demonstrated recording and </w:t>
            </w:r>
            <w:r w:rsidR="005D4C5B" w:rsidRPr="00EB0264">
              <w:t xml:space="preserve">reporting systems to </w:t>
            </w:r>
            <w:r w:rsidRPr="00EB0264">
              <w:t>measure</w:t>
            </w:r>
            <w:r w:rsidR="005D4C5B" w:rsidRPr="00EB0264">
              <w:t xml:space="preserve"> outcomes</w:t>
            </w:r>
          </w:p>
        </w:tc>
        <w:tc>
          <w:tcPr>
            <w:tcW w:w="1666" w:type="dxa"/>
          </w:tcPr>
          <w:p w14:paraId="4BA8A0C7" w14:textId="77777777" w:rsidR="008F3410" w:rsidRPr="00EB0264" w:rsidRDefault="00603130" w:rsidP="00865426">
            <w:pPr>
              <w:spacing w:after="120"/>
            </w:pPr>
            <w:r w:rsidRPr="00EB0264">
              <w:t>2</w:t>
            </w:r>
            <w:r w:rsidR="00865426">
              <w:t>5</w:t>
            </w:r>
            <w:r w:rsidR="00887F0D" w:rsidRPr="00EB0264">
              <w:t>%</w:t>
            </w:r>
          </w:p>
        </w:tc>
      </w:tr>
      <w:tr w:rsidR="00870A45" w:rsidRPr="00EB0264" w14:paraId="0E89ECD5" w14:textId="77777777" w:rsidTr="0022207F">
        <w:tc>
          <w:tcPr>
            <w:tcW w:w="1696" w:type="dxa"/>
          </w:tcPr>
          <w:p w14:paraId="146F283A" w14:textId="77777777" w:rsidR="00870A45" w:rsidRPr="00EB0264" w:rsidRDefault="00870A45" w:rsidP="00EB0264">
            <w:pPr>
              <w:spacing w:after="120"/>
            </w:pPr>
            <w:r w:rsidRPr="00EB0264">
              <w:t>4</w:t>
            </w:r>
          </w:p>
        </w:tc>
        <w:tc>
          <w:tcPr>
            <w:tcW w:w="6946" w:type="dxa"/>
          </w:tcPr>
          <w:p w14:paraId="0766E56F" w14:textId="77777777" w:rsidR="00870A45" w:rsidRDefault="00870A45" w:rsidP="00EB0264">
            <w:pPr>
              <w:spacing w:after="120"/>
              <w:rPr>
                <w:b/>
              </w:rPr>
            </w:pPr>
            <w:r w:rsidRPr="00EB0264">
              <w:rPr>
                <w:b/>
              </w:rPr>
              <w:t xml:space="preserve">Benefits to the NT economy including </w:t>
            </w:r>
            <w:r w:rsidR="00865426">
              <w:rPr>
                <w:b/>
              </w:rPr>
              <w:t xml:space="preserve">Value for money, </w:t>
            </w:r>
            <w:r w:rsidRPr="00EB0264">
              <w:rPr>
                <w:b/>
              </w:rPr>
              <w:t>employment and</w:t>
            </w:r>
            <w:r w:rsidR="00F96724" w:rsidRPr="00EB0264">
              <w:rPr>
                <w:b/>
              </w:rPr>
              <w:t xml:space="preserve"> </w:t>
            </w:r>
            <w:r w:rsidRPr="00EB0264">
              <w:rPr>
                <w:b/>
              </w:rPr>
              <w:t>small business including:</w:t>
            </w:r>
          </w:p>
          <w:p w14:paraId="117C74D2" w14:textId="77777777" w:rsidR="00865426" w:rsidRPr="00EB0264" w:rsidRDefault="00865426" w:rsidP="00865426">
            <w:pPr>
              <w:spacing w:after="120"/>
            </w:pPr>
            <w:r w:rsidRPr="00EB0264">
              <w:rPr>
                <w:b/>
              </w:rPr>
              <w:t>Value for money</w:t>
            </w:r>
          </w:p>
          <w:p w14:paraId="6E9A572E" w14:textId="77777777" w:rsidR="00865426" w:rsidRPr="00EB0264" w:rsidRDefault="00865426" w:rsidP="00865426">
            <w:pPr>
              <w:pStyle w:val="ListParagraph"/>
              <w:numPr>
                <w:ilvl w:val="0"/>
                <w:numId w:val="14"/>
              </w:numPr>
              <w:spacing w:after="60"/>
              <w:ind w:left="714" w:hanging="357"/>
            </w:pPr>
            <w:r w:rsidRPr="00EB0264">
              <w:t>Government investment per tonne of waste diverted</w:t>
            </w:r>
          </w:p>
          <w:p w14:paraId="320F7713" w14:textId="77777777" w:rsidR="00865426" w:rsidRPr="00865426" w:rsidRDefault="00865426" w:rsidP="00865426">
            <w:pPr>
              <w:pStyle w:val="ListParagraph"/>
              <w:numPr>
                <w:ilvl w:val="0"/>
                <w:numId w:val="14"/>
              </w:numPr>
              <w:rPr>
                <w:b/>
              </w:rPr>
            </w:pPr>
            <w:r w:rsidRPr="00EB0264">
              <w:t>amount of private sector investment compared to government investment</w:t>
            </w:r>
          </w:p>
          <w:p w14:paraId="1657D505" w14:textId="77777777" w:rsidR="00865426" w:rsidRPr="00865426" w:rsidRDefault="00865426" w:rsidP="00865426">
            <w:pPr>
              <w:rPr>
                <w:b/>
              </w:rPr>
            </w:pPr>
            <w:r>
              <w:rPr>
                <w:b/>
              </w:rPr>
              <w:t>Local employment and support to small businesses</w:t>
            </w:r>
          </w:p>
          <w:p w14:paraId="4293CE5F" w14:textId="77777777" w:rsidR="00870A45" w:rsidRPr="00EB0264" w:rsidRDefault="00870A45" w:rsidP="00EB0264">
            <w:pPr>
              <w:pStyle w:val="ListParagraph"/>
              <w:numPr>
                <w:ilvl w:val="0"/>
                <w:numId w:val="14"/>
              </w:numPr>
              <w:spacing w:after="60"/>
              <w:ind w:left="714" w:hanging="357"/>
            </w:pPr>
            <w:r w:rsidRPr="00EB0264">
              <w:t xml:space="preserve">local benefits particularly </w:t>
            </w:r>
            <w:r w:rsidR="00567E1C" w:rsidRPr="00EB0264">
              <w:t xml:space="preserve">local </w:t>
            </w:r>
            <w:r w:rsidRPr="00EB0264">
              <w:t>employment in the project location</w:t>
            </w:r>
            <w:r w:rsidR="00567E1C" w:rsidRPr="00EB0264">
              <w:t xml:space="preserve"> or regional and remote areas</w:t>
            </w:r>
          </w:p>
          <w:p w14:paraId="3B60FD23" w14:textId="77777777" w:rsidR="00870A45" w:rsidRPr="00EB0264" w:rsidRDefault="00870A45" w:rsidP="00EB0264">
            <w:pPr>
              <w:pStyle w:val="ListParagraph"/>
              <w:numPr>
                <w:ilvl w:val="0"/>
                <w:numId w:val="14"/>
              </w:numPr>
              <w:spacing w:after="60"/>
              <w:ind w:left="714" w:hanging="357"/>
            </w:pPr>
            <w:r w:rsidRPr="00EB0264">
              <w:t>support offered to small businesses</w:t>
            </w:r>
          </w:p>
          <w:p w14:paraId="12DBED67" w14:textId="77777777" w:rsidR="00870A45" w:rsidRPr="00EB0264" w:rsidRDefault="00870A45" w:rsidP="00EB0264">
            <w:pPr>
              <w:pStyle w:val="ListParagraph"/>
              <w:numPr>
                <w:ilvl w:val="0"/>
                <w:numId w:val="14"/>
              </w:numPr>
              <w:spacing w:after="60"/>
              <w:ind w:left="714" w:hanging="357"/>
            </w:pPr>
            <w:r w:rsidRPr="00EB0264">
              <w:t>consideration of community and broader social impacts</w:t>
            </w:r>
          </w:p>
          <w:p w14:paraId="1A2F390D" w14:textId="77777777" w:rsidR="00865426" w:rsidRPr="00EB0264" w:rsidRDefault="00870A45" w:rsidP="00865426">
            <w:pPr>
              <w:pStyle w:val="ListParagraph"/>
              <w:numPr>
                <w:ilvl w:val="0"/>
                <w:numId w:val="14"/>
              </w:numPr>
              <w:spacing w:after="60"/>
              <w:ind w:left="714" w:hanging="357"/>
            </w:pPr>
            <w:r w:rsidRPr="00EB0264">
              <w:t>community perception of project and organisation</w:t>
            </w:r>
          </w:p>
        </w:tc>
        <w:tc>
          <w:tcPr>
            <w:tcW w:w="1666" w:type="dxa"/>
          </w:tcPr>
          <w:p w14:paraId="20AC56C8" w14:textId="77777777" w:rsidR="00870A45" w:rsidRPr="00EB0264" w:rsidRDefault="00870A45" w:rsidP="00EB0264">
            <w:pPr>
              <w:spacing w:after="120"/>
            </w:pPr>
            <w:r w:rsidRPr="00EB0264">
              <w:t>20%</w:t>
            </w:r>
          </w:p>
        </w:tc>
      </w:tr>
    </w:tbl>
    <w:p w14:paraId="5C4F675E" w14:textId="77777777" w:rsidR="008F3410" w:rsidRPr="00131042" w:rsidRDefault="0040698F" w:rsidP="0040698F">
      <w:pPr>
        <w:pStyle w:val="Heading1"/>
        <w:rPr>
          <w:lang w:eastAsia="en-AU"/>
        </w:rPr>
      </w:pPr>
      <w:bookmarkStart w:id="14" w:name="_Toc146102975"/>
      <w:r>
        <w:rPr>
          <w:lang w:eastAsia="en-AU"/>
        </w:rPr>
        <w:lastRenderedPageBreak/>
        <w:t>8</w:t>
      </w:r>
      <w:r w:rsidR="00131042">
        <w:rPr>
          <w:lang w:eastAsia="en-AU"/>
        </w:rPr>
        <w:t xml:space="preserve">. </w:t>
      </w:r>
      <w:r w:rsidR="00131042">
        <w:rPr>
          <w:lang w:eastAsia="en-AU"/>
        </w:rPr>
        <w:tab/>
      </w:r>
      <w:r w:rsidR="005C09AD" w:rsidRPr="00131042">
        <w:rPr>
          <w:lang w:eastAsia="en-AU"/>
        </w:rPr>
        <w:t>Advice and support</w:t>
      </w:r>
      <w:bookmarkEnd w:id="14"/>
    </w:p>
    <w:p w14:paraId="6D3D5FA1" w14:textId="77777777" w:rsidR="007D3C83" w:rsidRPr="00EB0264" w:rsidRDefault="007D3C83" w:rsidP="00EB0264">
      <w:pPr>
        <w:autoSpaceDE w:val="0"/>
        <w:autoSpaceDN w:val="0"/>
        <w:adjustRightInd w:val="0"/>
        <w:spacing w:after="120"/>
        <w:rPr>
          <w:rFonts w:asciiTheme="minorHAnsi" w:hAnsiTheme="minorHAnsi" w:cs="Calibri"/>
          <w:color w:val="000000"/>
        </w:rPr>
      </w:pPr>
      <w:r w:rsidRPr="00EB0264">
        <w:rPr>
          <w:rFonts w:asciiTheme="minorHAnsi" w:hAnsiTheme="minorHAnsi" w:cs="Calibri"/>
          <w:color w:val="000000"/>
        </w:rPr>
        <w:t xml:space="preserve">For enquiries about these </w:t>
      </w:r>
      <w:r w:rsidR="004129A0" w:rsidRPr="00EB0264">
        <w:rPr>
          <w:rFonts w:asciiTheme="minorHAnsi" w:hAnsiTheme="minorHAnsi" w:cs="Calibri"/>
          <w:color w:val="000000"/>
        </w:rPr>
        <w:t>Terms and conditions</w:t>
      </w:r>
      <w:r w:rsidRPr="00EB0264">
        <w:rPr>
          <w:rFonts w:asciiTheme="minorHAnsi" w:hAnsiTheme="minorHAnsi" w:cs="Calibri"/>
          <w:color w:val="000000"/>
        </w:rPr>
        <w:t xml:space="preserve">, </w:t>
      </w:r>
      <w:r w:rsidRPr="004A2B46">
        <w:rPr>
          <w:rFonts w:asciiTheme="minorHAnsi" w:hAnsiTheme="minorHAnsi" w:cs="Calibri"/>
          <w:color w:val="000000"/>
        </w:rPr>
        <w:t xml:space="preserve">please contact the Department </w:t>
      </w:r>
      <w:r w:rsidR="005C1F4E" w:rsidRPr="004A2B46">
        <w:rPr>
          <w:rFonts w:asciiTheme="minorHAnsi" w:hAnsiTheme="minorHAnsi" w:cs="Calibri"/>
          <w:color w:val="000000"/>
        </w:rPr>
        <w:t>of Industry, Tourism and Trade (DITT)</w:t>
      </w:r>
      <w:r w:rsidR="004129A0" w:rsidRPr="004A2B46">
        <w:rPr>
          <w:rFonts w:asciiTheme="minorHAnsi" w:hAnsiTheme="minorHAnsi" w:cs="Calibri"/>
          <w:color w:val="000000"/>
        </w:rPr>
        <w:t xml:space="preserve"> by email at</w:t>
      </w:r>
      <w:r w:rsidRPr="004A2B46">
        <w:rPr>
          <w:rFonts w:asciiTheme="minorHAnsi" w:hAnsiTheme="minorHAnsi" w:cs="Calibri"/>
          <w:color w:val="000000"/>
        </w:rPr>
        <w:t xml:space="preserve"> </w:t>
      </w:r>
      <w:hyperlink r:id="rId11" w:history="1">
        <w:r w:rsidR="00932BF8" w:rsidRPr="004A2B46">
          <w:rPr>
            <w:rStyle w:val="Hyperlink"/>
            <w:rFonts w:cs="Arial"/>
            <w:b/>
          </w:rPr>
          <w:t>CENT</w:t>
        </w:r>
        <w:r w:rsidR="00955324" w:rsidRPr="004A2B46">
          <w:rPr>
            <w:rStyle w:val="Hyperlink"/>
            <w:rFonts w:cs="Arial"/>
            <w:b/>
          </w:rPr>
          <w:t>.DITT@nt.gov.au</w:t>
        </w:r>
      </w:hyperlink>
      <w:r w:rsidRPr="00EB0264">
        <w:rPr>
          <w:rFonts w:asciiTheme="minorHAnsi" w:hAnsiTheme="minorHAnsi" w:cs="Calibri"/>
          <w:color w:val="000000"/>
        </w:rPr>
        <w:t xml:space="preserve"> </w:t>
      </w:r>
    </w:p>
    <w:p w14:paraId="668AA590" w14:textId="77777777" w:rsidR="0040698F" w:rsidRPr="00EB0264" w:rsidRDefault="00EF2978" w:rsidP="00EB0264">
      <w:pPr>
        <w:autoSpaceDE w:val="0"/>
        <w:autoSpaceDN w:val="0"/>
        <w:adjustRightInd w:val="0"/>
        <w:spacing w:after="120"/>
        <w:rPr>
          <w:rStyle w:val="Hyperlink"/>
          <w:rFonts w:asciiTheme="minorHAnsi" w:hAnsiTheme="minorHAnsi" w:cs="Calibri"/>
        </w:rPr>
      </w:pPr>
      <w:r w:rsidRPr="00EB0264">
        <w:rPr>
          <w:rFonts w:asciiTheme="minorHAnsi" w:hAnsiTheme="minorHAnsi" w:cs="Calibri"/>
          <w:color w:val="000000"/>
        </w:rPr>
        <w:t xml:space="preserve">For any concerns about the assessment process undertaken </w:t>
      </w:r>
      <w:r w:rsidR="00C70287" w:rsidRPr="00EB0264">
        <w:rPr>
          <w:rFonts w:asciiTheme="minorHAnsi" w:hAnsiTheme="minorHAnsi" w:cs="Calibri"/>
          <w:color w:val="000000"/>
        </w:rPr>
        <w:t xml:space="preserve">by the Panel </w:t>
      </w:r>
      <w:r w:rsidRPr="00EB0264">
        <w:rPr>
          <w:rFonts w:asciiTheme="minorHAnsi" w:hAnsiTheme="minorHAnsi" w:cs="Calibri"/>
          <w:color w:val="000000"/>
        </w:rPr>
        <w:t xml:space="preserve">at Stage 2, please contact </w:t>
      </w:r>
      <w:hyperlink r:id="rId12" w:history="1">
        <w:r w:rsidR="00932BF8">
          <w:rPr>
            <w:rStyle w:val="Hyperlink"/>
            <w:rFonts w:cs="Arial"/>
            <w:b/>
          </w:rPr>
          <w:t>CENT</w:t>
        </w:r>
        <w:r w:rsidR="00955324" w:rsidRPr="00EB0264">
          <w:rPr>
            <w:rStyle w:val="Hyperlink"/>
            <w:rFonts w:cs="Arial"/>
            <w:b/>
          </w:rPr>
          <w:t>.DITT@nt.gov.au</w:t>
        </w:r>
      </w:hyperlink>
      <w:r w:rsidR="00C70287" w:rsidRPr="00EB0264">
        <w:rPr>
          <w:color w:val="000000"/>
        </w:rPr>
        <w:t xml:space="preserve"> </w:t>
      </w:r>
      <w:r w:rsidR="00C70287" w:rsidRPr="00EB0264">
        <w:rPr>
          <w:rFonts w:asciiTheme="minorHAnsi" w:hAnsiTheme="minorHAnsi" w:cs="Calibri"/>
          <w:color w:val="000000"/>
        </w:rPr>
        <w:t>in the first instance.</w:t>
      </w:r>
      <w:r w:rsidR="00C70287" w:rsidRPr="00EB0264">
        <w:rPr>
          <w:rStyle w:val="Hyperlink"/>
          <w:rFonts w:asciiTheme="minorHAnsi" w:hAnsiTheme="minorHAnsi" w:cs="Calibri"/>
        </w:rPr>
        <w:t xml:space="preserve">  </w:t>
      </w:r>
    </w:p>
    <w:p w14:paraId="6FFE6BBD" w14:textId="77777777" w:rsidR="00EF2978" w:rsidRPr="00EB0264" w:rsidRDefault="00EF2978" w:rsidP="00EB0264">
      <w:pPr>
        <w:autoSpaceDE w:val="0"/>
        <w:autoSpaceDN w:val="0"/>
        <w:adjustRightInd w:val="0"/>
        <w:spacing w:after="120"/>
        <w:rPr>
          <w:rFonts w:asciiTheme="minorHAnsi" w:hAnsiTheme="minorHAnsi" w:cs="Calibri"/>
          <w:color w:val="000000"/>
        </w:rPr>
      </w:pPr>
      <w:r w:rsidRPr="00EB0264">
        <w:rPr>
          <w:rFonts w:asciiTheme="minorHAnsi" w:hAnsiTheme="minorHAnsi" w:cs="Calibri"/>
          <w:color w:val="000000"/>
        </w:rPr>
        <w:t xml:space="preserve">The </w:t>
      </w:r>
      <w:r w:rsidR="009F360A" w:rsidRPr="00EB0264">
        <w:rPr>
          <w:rFonts w:asciiTheme="minorHAnsi" w:hAnsiTheme="minorHAnsi" w:cs="Calibri"/>
          <w:color w:val="000000"/>
        </w:rPr>
        <w:t xml:space="preserve">Northern </w:t>
      </w:r>
      <w:r w:rsidRPr="00EB0264">
        <w:rPr>
          <w:rFonts w:asciiTheme="minorHAnsi" w:hAnsiTheme="minorHAnsi" w:cs="Calibri"/>
          <w:color w:val="000000"/>
        </w:rPr>
        <w:t xml:space="preserve">Territory </w:t>
      </w:r>
      <w:r w:rsidR="009F360A" w:rsidRPr="00EB0264">
        <w:rPr>
          <w:rFonts w:asciiTheme="minorHAnsi" w:hAnsiTheme="minorHAnsi" w:cs="Calibri"/>
          <w:color w:val="000000"/>
        </w:rPr>
        <w:t xml:space="preserve">Governments </w:t>
      </w:r>
      <w:r w:rsidR="00736BBA" w:rsidRPr="00EB0264">
        <w:rPr>
          <w:rFonts w:asciiTheme="minorHAnsi" w:hAnsiTheme="minorHAnsi" w:cs="Calibri"/>
          <w:color w:val="000000"/>
        </w:rPr>
        <w:t xml:space="preserve">is </w:t>
      </w:r>
      <w:r w:rsidRPr="00EB0264">
        <w:rPr>
          <w:rFonts w:asciiTheme="minorHAnsi" w:hAnsiTheme="minorHAnsi" w:cs="Calibri"/>
          <w:color w:val="000000"/>
        </w:rPr>
        <w:t xml:space="preserve">committed to the highest standards of probity in the assessment of applications </w:t>
      </w:r>
      <w:r w:rsidR="00D03B35" w:rsidRPr="00EB0264">
        <w:rPr>
          <w:rFonts w:asciiTheme="minorHAnsi" w:hAnsiTheme="minorHAnsi" w:cs="Calibri"/>
          <w:color w:val="000000"/>
        </w:rPr>
        <w:t xml:space="preserve">of </w:t>
      </w:r>
      <w:r w:rsidRPr="00EB0264">
        <w:rPr>
          <w:rFonts w:asciiTheme="minorHAnsi" w:hAnsiTheme="minorHAnsi" w:cs="Calibri"/>
          <w:color w:val="000000"/>
        </w:rPr>
        <w:t>grants in a competitive environment</w:t>
      </w:r>
      <w:r w:rsidR="00C70287" w:rsidRPr="00EB0264">
        <w:rPr>
          <w:rFonts w:asciiTheme="minorHAnsi" w:hAnsiTheme="minorHAnsi" w:cs="Calibri"/>
          <w:color w:val="000000"/>
        </w:rPr>
        <w:t xml:space="preserve"> and the Department</w:t>
      </w:r>
      <w:r w:rsidR="00D3019D" w:rsidRPr="00EB0264">
        <w:rPr>
          <w:rFonts w:asciiTheme="minorHAnsi" w:hAnsiTheme="minorHAnsi" w:cs="Calibri"/>
          <w:color w:val="000000"/>
        </w:rPr>
        <w:t xml:space="preserve"> </w:t>
      </w:r>
      <w:r w:rsidR="00C70287" w:rsidRPr="00EB0264">
        <w:rPr>
          <w:rFonts w:asciiTheme="minorHAnsi" w:hAnsiTheme="minorHAnsi" w:cs="Calibri"/>
          <w:color w:val="000000"/>
        </w:rPr>
        <w:t>will conduct an internal review where concerns are raised.  If an applicant is aggrieved once that review has been undertaken it may contact the Ombudsman</w:t>
      </w:r>
      <w:r w:rsidR="002534C3" w:rsidRPr="00EB0264">
        <w:rPr>
          <w:rFonts w:asciiTheme="minorHAnsi" w:hAnsiTheme="minorHAnsi" w:cs="Calibri"/>
          <w:color w:val="000000"/>
        </w:rPr>
        <w:t xml:space="preserve"> at https://www.ombudsman.nt.gov.au</w:t>
      </w:r>
    </w:p>
    <w:p w14:paraId="0E78171E" w14:textId="77777777" w:rsidR="005C1F4E" w:rsidRPr="0040698F" w:rsidRDefault="0040698F" w:rsidP="0040698F">
      <w:pPr>
        <w:pStyle w:val="Heading1"/>
        <w:rPr>
          <w:lang w:eastAsia="en-AU"/>
        </w:rPr>
      </w:pPr>
      <w:bookmarkStart w:id="15" w:name="_Toc146102976"/>
      <w:r>
        <w:rPr>
          <w:lang w:eastAsia="en-AU"/>
        </w:rPr>
        <w:t>9.</w:t>
      </w:r>
      <w:r w:rsidR="005C1F4E" w:rsidRPr="0040698F">
        <w:rPr>
          <w:lang w:eastAsia="en-AU"/>
        </w:rPr>
        <w:t xml:space="preserve"> </w:t>
      </w:r>
      <w:r w:rsidR="000338D0">
        <w:rPr>
          <w:lang w:eastAsia="en-AU"/>
        </w:rPr>
        <w:tab/>
      </w:r>
      <w:r w:rsidR="005C1F4E" w:rsidRPr="0040698F">
        <w:rPr>
          <w:lang w:eastAsia="en-AU"/>
        </w:rPr>
        <w:t>Confidentiality</w:t>
      </w:r>
      <w:bookmarkEnd w:id="15"/>
      <w:r w:rsidR="005C1F4E" w:rsidRPr="0040698F">
        <w:rPr>
          <w:lang w:eastAsia="en-AU"/>
        </w:rPr>
        <w:t xml:space="preserve"> </w:t>
      </w:r>
    </w:p>
    <w:p w14:paraId="301B8B47" w14:textId="77777777" w:rsidR="007D3C83" w:rsidRPr="00EB0264" w:rsidRDefault="000C5D35" w:rsidP="00EB0264">
      <w:pPr>
        <w:autoSpaceDE w:val="0"/>
        <w:autoSpaceDN w:val="0"/>
        <w:adjustRightInd w:val="0"/>
        <w:spacing w:after="120"/>
        <w:rPr>
          <w:rFonts w:asciiTheme="minorHAnsi" w:hAnsiTheme="minorHAnsi" w:cs="Calibri"/>
          <w:color w:val="000000"/>
          <w:szCs w:val="24"/>
        </w:rPr>
      </w:pPr>
      <w:r w:rsidRPr="00EB0264">
        <w:rPr>
          <w:rFonts w:asciiTheme="minorHAnsi" w:hAnsiTheme="minorHAnsi" w:cs="Calibri"/>
          <w:color w:val="000000"/>
          <w:szCs w:val="24"/>
        </w:rPr>
        <w:t xml:space="preserve">The Department </w:t>
      </w:r>
      <w:r w:rsidR="007D3C83" w:rsidRPr="00EB0264">
        <w:rPr>
          <w:rFonts w:asciiTheme="minorHAnsi" w:hAnsiTheme="minorHAnsi" w:cs="Calibri"/>
          <w:color w:val="000000"/>
          <w:szCs w:val="24"/>
        </w:rPr>
        <w:t xml:space="preserve">will maintain controls in relation to the management of confidential information provided by </w:t>
      </w:r>
      <w:r w:rsidR="00D03B35" w:rsidRPr="00EB0264">
        <w:rPr>
          <w:rFonts w:asciiTheme="minorHAnsi" w:hAnsiTheme="minorHAnsi" w:cs="Calibri"/>
          <w:color w:val="000000"/>
          <w:szCs w:val="24"/>
        </w:rPr>
        <w:t xml:space="preserve">applicants </w:t>
      </w:r>
      <w:r w:rsidR="007D3C83" w:rsidRPr="00EB0264">
        <w:rPr>
          <w:rFonts w:asciiTheme="minorHAnsi" w:hAnsiTheme="minorHAnsi" w:cs="Calibri"/>
          <w:color w:val="000000"/>
          <w:szCs w:val="24"/>
        </w:rPr>
        <w:t xml:space="preserve">and all internal documentation produced in relation to the administration of the </w:t>
      </w:r>
      <w:r w:rsidR="00932BF8">
        <w:rPr>
          <w:rFonts w:asciiTheme="minorHAnsi" w:hAnsiTheme="minorHAnsi" w:cs="Calibri"/>
          <w:color w:val="000000"/>
          <w:szCs w:val="24"/>
        </w:rPr>
        <w:t>CENT</w:t>
      </w:r>
      <w:r w:rsidR="007D3C83" w:rsidRPr="00EB0264">
        <w:rPr>
          <w:rFonts w:asciiTheme="minorHAnsi" w:hAnsiTheme="minorHAnsi" w:cs="Calibri"/>
          <w:color w:val="000000"/>
          <w:szCs w:val="24"/>
        </w:rPr>
        <w:t xml:space="preserve">. </w:t>
      </w:r>
    </w:p>
    <w:p w14:paraId="2BBAF12B" w14:textId="77777777" w:rsidR="007D3C83" w:rsidRPr="00EB0264" w:rsidRDefault="00D03B35" w:rsidP="00EB0264">
      <w:pPr>
        <w:autoSpaceDE w:val="0"/>
        <w:autoSpaceDN w:val="0"/>
        <w:adjustRightInd w:val="0"/>
        <w:spacing w:after="120"/>
        <w:rPr>
          <w:rFonts w:asciiTheme="minorHAnsi" w:hAnsiTheme="minorHAnsi" w:cs="Calibri"/>
          <w:color w:val="000000"/>
          <w:szCs w:val="24"/>
        </w:rPr>
      </w:pPr>
      <w:r w:rsidRPr="00EB0264">
        <w:rPr>
          <w:rFonts w:asciiTheme="minorHAnsi" w:hAnsiTheme="minorHAnsi" w:cs="Calibri"/>
          <w:color w:val="000000"/>
          <w:szCs w:val="24"/>
        </w:rPr>
        <w:t>Eligible o</w:t>
      </w:r>
      <w:r w:rsidR="007D3C83" w:rsidRPr="00EB0264">
        <w:rPr>
          <w:rFonts w:asciiTheme="minorHAnsi" w:hAnsiTheme="minorHAnsi" w:cs="Calibri"/>
          <w:color w:val="000000"/>
          <w:szCs w:val="24"/>
        </w:rPr>
        <w:t xml:space="preserve">rganisations must keep confidential any dealings with </w:t>
      </w:r>
      <w:r w:rsidR="00923329" w:rsidRPr="00EB0264">
        <w:rPr>
          <w:rFonts w:asciiTheme="minorHAnsi" w:hAnsiTheme="minorHAnsi" w:cs="Calibri"/>
          <w:color w:val="000000"/>
          <w:szCs w:val="24"/>
        </w:rPr>
        <w:t xml:space="preserve">the Department </w:t>
      </w:r>
      <w:r w:rsidR="007D3C83" w:rsidRPr="00EB0264">
        <w:rPr>
          <w:rFonts w:asciiTheme="minorHAnsi" w:hAnsiTheme="minorHAnsi" w:cs="Calibri"/>
          <w:color w:val="000000"/>
          <w:szCs w:val="24"/>
        </w:rPr>
        <w:t xml:space="preserve">about their application, including any funding offered, but may make disclosures to advisors who are under an obligation of confidentiality or if required by law. </w:t>
      </w:r>
    </w:p>
    <w:p w14:paraId="3DC2D850" w14:textId="77777777" w:rsidR="007D3C83" w:rsidRPr="00EB0264" w:rsidRDefault="002E0BB9" w:rsidP="00EB0264">
      <w:pPr>
        <w:autoSpaceDE w:val="0"/>
        <w:autoSpaceDN w:val="0"/>
        <w:adjustRightInd w:val="0"/>
        <w:spacing w:after="120"/>
        <w:rPr>
          <w:rFonts w:asciiTheme="minorHAnsi" w:hAnsiTheme="minorHAnsi" w:cs="Calibri"/>
          <w:color w:val="000000"/>
          <w:szCs w:val="24"/>
        </w:rPr>
      </w:pPr>
      <w:r w:rsidRPr="00EB0264">
        <w:rPr>
          <w:rFonts w:asciiTheme="minorHAnsi" w:hAnsiTheme="minorHAnsi" w:cs="Calibri"/>
          <w:color w:val="000000"/>
          <w:szCs w:val="24"/>
        </w:rPr>
        <w:t xml:space="preserve">The Northern Territory Government </w:t>
      </w:r>
      <w:r w:rsidR="007D3C83" w:rsidRPr="00EB0264">
        <w:rPr>
          <w:rFonts w:asciiTheme="minorHAnsi" w:hAnsiTheme="minorHAnsi" w:cs="Calibri"/>
          <w:color w:val="000000"/>
          <w:szCs w:val="24"/>
        </w:rPr>
        <w:t xml:space="preserve">reserves the right to publicly disclose the names of </w:t>
      </w:r>
      <w:r w:rsidR="00D03B35" w:rsidRPr="00EB0264">
        <w:rPr>
          <w:rFonts w:asciiTheme="minorHAnsi" w:hAnsiTheme="minorHAnsi" w:cs="Calibri"/>
          <w:color w:val="000000"/>
          <w:szCs w:val="24"/>
        </w:rPr>
        <w:t>applicants</w:t>
      </w:r>
      <w:r w:rsidR="007D3C83" w:rsidRPr="00EB0264">
        <w:rPr>
          <w:rFonts w:asciiTheme="minorHAnsi" w:hAnsiTheme="minorHAnsi" w:cs="Calibri"/>
          <w:color w:val="000000"/>
          <w:szCs w:val="24"/>
        </w:rPr>
        <w:t xml:space="preserve">, information about funding granted and details about the anticipated economic outcomes and benefits of projects to </w:t>
      </w:r>
      <w:r w:rsidR="00BE4ECB" w:rsidRPr="00EB0264">
        <w:rPr>
          <w:rFonts w:asciiTheme="minorHAnsi" w:hAnsiTheme="minorHAnsi" w:cs="Calibri"/>
          <w:color w:val="000000"/>
          <w:szCs w:val="24"/>
        </w:rPr>
        <w:t>t</w:t>
      </w:r>
      <w:r w:rsidRPr="00EB0264">
        <w:rPr>
          <w:rFonts w:asciiTheme="minorHAnsi" w:hAnsiTheme="minorHAnsi" w:cs="Calibri"/>
          <w:color w:val="000000"/>
          <w:szCs w:val="24"/>
        </w:rPr>
        <w:t>he Territory.</w:t>
      </w:r>
    </w:p>
    <w:p w14:paraId="76F138CB" w14:textId="77777777" w:rsidR="007D3C83" w:rsidRPr="00EB0264" w:rsidRDefault="00D03B35" w:rsidP="00EB0264">
      <w:pPr>
        <w:autoSpaceDE w:val="0"/>
        <w:autoSpaceDN w:val="0"/>
        <w:adjustRightInd w:val="0"/>
        <w:spacing w:after="120"/>
        <w:rPr>
          <w:rFonts w:asciiTheme="minorHAnsi" w:hAnsiTheme="minorHAnsi" w:cs="Calibri"/>
          <w:color w:val="000000"/>
          <w:szCs w:val="24"/>
        </w:rPr>
      </w:pPr>
      <w:r w:rsidRPr="00EB0264">
        <w:rPr>
          <w:rFonts w:asciiTheme="minorHAnsi" w:hAnsiTheme="minorHAnsi" w:cs="Calibri"/>
          <w:color w:val="000000"/>
          <w:szCs w:val="24"/>
        </w:rPr>
        <w:t>The</w:t>
      </w:r>
      <w:r w:rsidR="00D3019D" w:rsidRPr="00EB0264">
        <w:rPr>
          <w:rFonts w:asciiTheme="minorHAnsi" w:hAnsiTheme="minorHAnsi" w:cs="Calibri"/>
          <w:color w:val="000000"/>
          <w:szCs w:val="24"/>
        </w:rPr>
        <w:t xml:space="preserve"> Northern Territory </w:t>
      </w:r>
      <w:r w:rsidR="005C0F6C" w:rsidRPr="00EB0264">
        <w:rPr>
          <w:rFonts w:asciiTheme="minorHAnsi" w:hAnsiTheme="minorHAnsi" w:cs="Calibri"/>
          <w:color w:val="000000"/>
          <w:szCs w:val="24"/>
        </w:rPr>
        <w:t>Government</w:t>
      </w:r>
      <w:r w:rsidR="005B437E" w:rsidRPr="00EB0264">
        <w:rPr>
          <w:rFonts w:asciiTheme="minorHAnsi" w:hAnsiTheme="minorHAnsi" w:cs="Calibri"/>
          <w:color w:val="000000"/>
          <w:szCs w:val="24"/>
        </w:rPr>
        <w:t xml:space="preserve"> shall disclose all information on the proje</w:t>
      </w:r>
      <w:r w:rsidR="00736BBA" w:rsidRPr="00EB0264">
        <w:rPr>
          <w:rFonts w:asciiTheme="minorHAnsi" w:hAnsiTheme="minorHAnsi" w:cs="Calibri"/>
          <w:color w:val="000000"/>
          <w:szCs w:val="24"/>
        </w:rPr>
        <w:t>ct including confidential information provided by applicants</w:t>
      </w:r>
      <w:r w:rsidR="007D3C83" w:rsidRPr="00EB0264">
        <w:rPr>
          <w:rFonts w:asciiTheme="minorHAnsi" w:hAnsiTheme="minorHAnsi" w:cs="Calibri"/>
          <w:color w:val="000000"/>
          <w:szCs w:val="24"/>
        </w:rPr>
        <w:t xml:space="preserve">: </w:t>
      </w:r>
    </w:p>
    <w:p w14:paraId="1F1CCBBE" w14:textId="77777777" w:rsidR="007D3C83" w:rsidRPr="00EB0264" w:rsidRDefault="007D3C83" w:rsidP="00EB0264">
      <w:pPr>
        <w:numPr>
          <w:ilvl w:val="0"/>
          <w:numId w:val="28"/>
        </w:numPr>
        <w:tabs>
          <w:tab w:val="left" w:pos="709"/>
        </w:tabs>
        <w:autoSpaceDE w:val="0"/>
        <w:autoSpaceDN w:val="0"/>
        <w:adjustRightInd w:val="0"/>
        <w:spacing w:after="120"/>
        <w:ind w:left="720" w:hanging="436"/>
        <w:rPr>
          <w:rFonts w:asciiTheme="minorHAnsi" w:hAnsiTheme="minorHAnsi" w:cs="Calibri"/>
          <w:color w:val="000000"/>
          <w:szCs w:val="24"/>
        </w:rPr>
      </w:pPr>
      <w:r w:rsidRPr="00EB0264">
        <w:rPr>
          <w:rFonts w:asciiTheme="minorHAnsi" w:hAnsiTheme="minorHAnsi" w:cs="Calibri"/>
          <w:color w:val="000000"/>
          <w:szCs w:val="24"/>
        </w:rPr>
        <w:t xml:space="preserve">if required to be disclosed by law; </w:t>
      </w:r>
    </w:p>
    <w:p w14:paraId="2EC10593" w14:textId="77777777" w:rsidR="00567E1C" w:rsidRPr="00EB0264" w:rsidRDefault="007D3C83" w:rsidP="00EB0264">
      <w:pPr>
        <w:numPr>
          <w:ilvl w:val="0"/>
          <w:numId w:val="28"/>
        </w:numPr>
        <w:tabs>
          <w:tab w:val="left" w:pos="709"/>
        </w:tabs>
        <w:autoSpaceDE w:val="0"/>
        <w:autoSpaceDN w:val="0"/>
        <w:adjustRightInd w:val="0"/>
        <w:spacing w:after="120"/>
        <w:ind w:left="720" w:hanging="436"/>
        <w:rPr>
          <w:rFonts w:asciiTheme="minorHAnsi" w:hAnsiTheme="minorHAnsi" w:cs="Calibri"/>
          <w:color w:val="000000"/>
          <w:szCs w:val="24"/>
        </w:rPr>
      </w:pPr>
      <w:r w:rsidRPr="00EB0264">
        <w:rPr>
          <w:rFonts w:asciiTheme="minorHAnsi" w:hAnsiTheme="minorHAnsi" w:cs="Calibri"/>
          <w:color w:val="000000"/>
          <w:szCs w:val="24"/>
        </w:rPr>
        <w:t>to its advisors, consultants and contractors</w:t>
      </w:r>
      <w:r w:rsidR="00567E1C" w:rsidRPr="00EB0264">
        <w:rPr>
          <w:rFonts w:asciiTheme="minorHAnsi" w:hAnsiTheme="minorHAnsi" w:cs="Calibri"/>
          <w:color w:val="000000"/>
          <w:szCs w:val="24"/>
        </w:rPr>
        <w:t xml:space="preserve">. </w:t>
      </w:r>
    </w:p>
    <w:p w14:paraId="3DFFB22B" w14:textId="77777777" w:rsidR="007D3C83" w:rsidRPr="00EB0264" w:rsidRDefault="007D3C83" w:rsidP="00EB0264">
      <w:pPr>
        <w:pStyle w:val="ListParagraph"/>
        <w:numPr>
          <w:ilvl w:val="0"/>
          <w:numId w:val="28"/>
        </w:numPr>
        <w:tabs>
          <w:tab w:val="left" w:pos="709"/>
        </w:tabs>
        <w:autoSpaceDE w:val="0"/>
        <w:autoSpaceDN w:val="0"/>
        <w:adjustRightInd w:val="0"/>
        <w:ind w:left="720" w:hanging="436"/>
        <w:rPr>
          <w:rFonts w:asciiTheme="minorHAnsi" w:hAnsiTheme="minorHAnsi" w:cs="Calibri"/>
          <w:color w:val="000000"/>
          <w:szCs w:val="24"/>
        </w:rPr>
      </w:pPr>
      <w:r w:rsidRPr="00EB0264">
        <w:rPr>
          <w:rFonts w:asciiTheme="minorHAnsi" w:hAnsiTheme="minorHAnsi" w:cs="Calibri"/>
          <w:color w:val="000000"/>
          <w:szCs w:val="24"/>
        </w:rPr>
        <w:t>to any government agency</w:t>
      </w:r>
      <w:r w:rsidR="002534C3" w:rsidRPr="00EB0264">
        <w:rPr>
          <w:rFonts w:asciiTheme="minorHAnsi" w:hAnsiTheme="minorHAnsi" w:cs="Calibri"/>
          <w:color w:val="000000"/>
          <w:szCs w:val="24"/>
        </w:rPr>
        <w:t xml:space="preserve"> and to Parliament and any Minister of the Parliament of the Northern Territory.</w:t>
      </w:r>
    </w:p>
    <w:p w14:paraId="1562E654" w14:textId="77777777" w:rsidR="006B2D6A" w:rsidRPr="0040698F" w:rsidRDefault="003B0836" w:rsidP="0040698F">
      <w:pPr>
        <w:pStyle w:val="Heading1"/>
        <w:rPr>
          <w:lang w:eastAsia="en-AU"/>
        </w:rPr>
      </w:pPr>
      <w:bookmarkStart w:id="16" w:name="_Toc146102977"/>
      <w:r w:rsidRPr="0040698F">
        <w:rPr>
          <w:lang w:eastAsia="en-AU"/>
        </w:rPr>
        <w:t>1</w:t>
      </w:r>
      <w:r w:rsidR="003462A0">
        <w:rPr>
          <w:lang w:eastAsia="en-AU"/>
        </w:rPr>
        <w:t>0</w:t>
      </w:r>
      <w:r w:rsidR="0040698F">
        <w:rPr>
          <w:lang w:eastAsia="en-AU"/>
        </w:rPr>
        <w:t>.</w:t>
      </w:r>
      <w:r w:rsidR="006B2D6A" w:rsidRPr="0040698F">
        <w:rPr>
          <w:lang w:eastAsia="en-AU"/>
        </w:rPr>
        <w:t xml:space="preserve"> </w:t>
      </w:r>
      <w:r w:rsidR="000338D0">
        <w:rPr>
          <w:lang w:eastAsia="en-AU"/>
        </w:rPr>
        <w:tab/>
      </w:r>
      <w:r w:rsidR="006B2D6A" w:rsidRPr="0040698F">
        <w:rPr>
          <w:lang w:eastAsia="en-AU"/>
        </w:rPr>
        <w:t>Relationship</w:t>
      </w:r>
      <w:bookmarkEnd w:id="16"/>
      <w:r w:rsidR="006B2D6A" w:rsidRPr="0040698F">
        <w:rPr>
          <w:lang w:eastAsia="en-AU"/>
        </w:rPr>
        <w:t xml:space="preserve"> </w:t>
      </w:r>
    </w:p>
    <w:p w14:paraId="0E2ADBAB" w14:textId="77777777" w:rsidR="006B2D6A" w:rsidRPr="00EB0264" w:rsidRDefault="006B2D6A" w:rsidP="00EB0264">
      <w:pPr>
        <w:spacing w:after="120"/>
        <w:rPr>
          <w:rFonts w:asciiTheme="minorHAnsi" w:hAnsiTheme="minorHAnsi"/>
          <w:szCs w:val="24"/>
        </w:rPr>
      </w:pPr>
      <w:r w:rsidRPr="00EB0264">
        <w:rPr>
          <w:rFonts w:asciiTheme="minorHAnsi" w:hAnsiTheme="minorHAnsi"/>
          <w:szCs w:val="24"/>
        </w:rPr>
        <w:t xml:space="preserve">The </w:t>
      </w:r>
      <w:r w:rsidR="005C0F6C" w:rsidRPr="00EB0264">
        <w:rPr>
          <w:rFonts w:asciiTheme="minorHAnsi" w:hAnsiTheme="minorHAnsi"/>
          <w:szCs w:val="24"/>
        </w:rPr>
        <w:t xml:space="preserve">Department’s </w:t>
      </w:r>
      <w:r w:rsidRPr="00EB0264">
        <w:rPr>
          <w:rFonts w:asciiTheme="minorHAnsi" w:hAnsiTheme="minorHAnsi"/>
          <w:szCs w:val="24"/>
        </w:rPr>
        <w:t>obligations</w:t>
      </w:r>
      <w:r w:rsidR="00D3019D" w:rsidRPr="00EB0264">
        <w:rPr>
          <w:rFonts w:asciiTheme="minorHAnsi" w:hAnsiTheme="minorHAnsi"/>
          <w:szCs w:val="24"/>
        </w:rPr>
        <w:t xml:space="preserve"> </w:t>
      </w:r>
      <w:r w:rsidRPr="00EB0264">
        <w:rPr>
          <w:rFonts w:asciiTheme="minorHAnsi" w:hAnsiTheme="minorHAnsi"/>
          <w:szCs w:val="24"/>
        </w:rPr>
        <w:t xml:space="preserve">regarding the application process are limited to those expressly stated in these guidelines.   </w:t>
      </w:r>
    </w:p>
    <w:p w14:paraId="1D39D69C" w14:textId="77777777" w:rsidR="006928C9" w:rsidRPr="00EB0264" w:rsidRDefault="00D20A4E" w:rsidP="00EB0264">
      <w:pPr>
        <w:spacing w:after="120"/>
        <w:rPr>
          <w:rFonts w:asciiTheme="minorHAnsi" w:hAnsiTheme="minorHAnsi"/>
          <w:szCs w:val="24"/>
        </w:rPr>
      </w:pPr>
      <w:r w:rsidRPr="00EB0264">
        <w:rPr>
          <w:rFonts w:asciiTheme="minorHAnsi" w:hAnsiTheme="minorHAnsi"/>
          <w:szCs w:val="24"/>
        </w:rPr>
        <w:t>No</w:t>
      </w:r>
      <w:r w:rsidR="006B2D6A" w:rsidRPr="00EB0264">
        <w:rPr>
          <w:rFonts w:asciiTheme="minorHAnsi" w:hAnsiTheme="minorHAnsi"/>
          <w:szCs w:val="24"/>
        </w:rPr>
        <w:t xml:space="preserve"> contractual or</w:t>
      </w:r>
      <w:r w:rsidR="00B12A52" w:rsidRPr="00EB0264">
        <w:rPr>
          <w:rFonts w:asciiTheme="minorHAnsi" w:hAnsiTheme="minorHAnsi"/>
          <w:szCs w:val="24"/>
        </w:rPr>
        <w:t xml:space="preserve"> other</w:t>
      </w:r>
      <w:r w:rsidR="006B2D6A" w:rsidRPr="00EB0264">
        <w:rPr>
          <w:rFonts w:asciiTheme="minorHAnsi" w:hAnsiTheme="minorHAnsi"/>
          <w:szCs w:val="24"/>
        </w:rPr>
        <w:t xml:space="preserve"> legal relationship exists between the </w:t>
      </w:r>
      <w:r w:rsidR="00D3019D" w:rsidRPr="00EB0264">
        <w:rPr>
          <w:rFonts w:asciiTheme="minorHAnsi" w:hAnsiTheme="minorHAnsi"/>
          <w:szCs w:val="24"/>
        </w:rPr>
        <w:t xml:space="preserve">Department </w:t>
      </w:r>
      <w:r w:rsidR="006B2D6A" w:rsidRPr="00EB0264">
        <w:rPr>
          <w:rFonts w:asciiTheme="minorHAnsi" w:hAnsiTheme="minorHAnsi"/>
          <w:szCs w:val="24"/>
        </w:rPr>
        <w:t xml:space="preserve">and an applicant in connection with the </w:t>
      </w:r>
      <w:r w:rsidR="00932BF8">
        <w:rPr>
          <w:rFonts w:asciiTheme="minorHAnsi" w:hAnsiTheme="minorHAnsi"/>
          <w:szCs w:val="24"/>
        </w:rPr>
        <w:t>CENT</w:t>
      </w:r>
      <w:r w:rsidR="006B2D6A" w:rsidRPr="00EB0264">
        <w:rPr>
          <w:rFonts w:asciiTheme="minorHAnsi" w:hAnsiTheme="minorHAnsi"/>
          <w:szCs w:val="24"/>
        </w:rPr>
        <w:t>, these guidelines or the application process</w:t>
      </w:r>
      <w:r w:rsidR="00B12A52" w:rsidRPr="00EB0264">
        <w:rPr>
          <w:rFonts w:asciiTheme="minorHAnsi" w:hAnsiTheme="minorHAnsi"/>
          <w:szCs w:val="24"/>
        </w:rPr>
        <w:t>.</w:t>
      </w:r>
      <w:r w:rsidR="006B2D6A" w:rsidRPr="00EB0264">
        <w:rPr>
          <w:rFonts w:asciiTheme="minorHAnsi" w:hAnsiTheme="minorHAnsi"/>
          <w:szCs w:val="24"/>
        </w:rPr>
        <w:t xml:space="preserve">  </w:t>
      </w:r>
      <w:r w:rsidR="001A081B">
        <w:rPr>
          <w:rFonts w:asciiTheme="minorHAnsi" w:hAnsiTheme="minorHAnsi"/>
          <w:szCs w:val="24"/>
        </w:rPr>
        <w:t xml:space="preserve">No legally binding </w:t>
      </w:r>
      <w:r w:rsidR="008E699A">
        <w:rPr>
          <w:rFonts w:asciiTheme="minorHAnsi" w:hAnsiTheme="minorHAnsi"/>
          <w:szCs w:val="24"/>
        </w:rPr>
        <w:t>agreement will be formed between the parties until a funding agreement is executed by both parties.</w:t>
      </w:r>
    </w:p>
    <w:p w14:paraId="4EEAEDF2" w14:textId="77777777" w:rsidR="00297112" w:rsidRPr="00EB0264" w:rsidRDefault="006B2D6A" w:rsidP="00EB0264">
      <w:pPr>
        <w:spacing w:after="120"/>
        <w:rPr>
          <w:rFonts w:asciiTheme="minorHAnsi" w:hAnsiTheme="minorHAnsi"/>
          <w:szCs w:val="24"/>
        </w:rPr>
      </w:pPr>
      <w:r w:rsidRPr="00EB0264">
        <w:rPr>
          <w:rFonts w:asciiTheme="minorHAnsi" w:hAnsiTheme="minorHAnsi"/>
          <w:szCs w:val="24"/>
        </w:rPr>
        <w:t>An applicant</w:t>
      </w:r>
      <w:r w:rsidR="00B12A52" w:rsidRPr="00EB0264">
        <w:rPr>
          <w:rFonts w:asciiTheme="minorHAnsi" w:hAnsiTheme="minorHAnsi"/>
          <w:szCs w:val="24"/>
        </w:rPr>
        <w:t xml:space="preserve"> must not, in relation to </w:t>
      </w:r>
      <w:r w:rsidR="005C0F6C" w:rsidRPr="00EB0264">
        <w:rPr>
          <w:rFonts w:asciiTheme="minorHAnsi" w:hAnsiTheme="minorHAnsi"/>
          <w:szCs w:val="24"/>
        </w:rPr>
        <w:t>the Department</w:t>
      </w:r>
      <w:r w:rsidR="00B12A52" w:rsidRPr="00EB0264">
        <w:rPr>
          <w:rFonts w:asciiTheme="minorHAnsi" w:hAnsiTheme="minorHAnsi"/>
          <w:szCs w:val="24"/>
        </w:rPr>
        <w:t>:</w:t>
      </w:r>
    </w:p>
    <w:p w14:paraId="25B73D80" w14:textId="77777777" w:rsidR="00297112" w:rsidRPr="00EB0264" w:rsidRDefault="006B2D6A" w:rsidP="00EB0264">
      <w:pPr>
        <w:pStyle w:val="ListParagraph"/>
        <w:numPr>
          <w:ilvl w:val="0"/>
          <w:numId w:val="11"/>
        </w:numPr>
        <w:ind w:hanging="436"/>
        <w:rPr>
          <w:rFonts w:asciiTheme="minorHAnsi" w:hAnsiTheme="minorHAnsi"/>
          <w:szCs w:val="24"/>
        </w:rPr>
      </w:pPr>
      <w:r w:rsidRPr="00EB0264">
        <w:rPr>
          <w:rFonts w:asciiTheme="minorHAnsi" w:hAnsiTheme="minorHAnsi"/>
          <w:szCs w:val="24"/>
        </w:rPr>
        <w:t xml:space="preserve">hold itself out or engage in any conduct or make any representation which may suggest to any person that the applicant is for any purpose an employee, agent, partner or </w:t>
      </w:r>
      <w:r w:rsidR="009F360A" w:rsidRPr="00EB0264">
        <w:rPr>
          <w:rFonts w:asciiTheme="minorHAnsi" w:hAnsiTheme="minorHAnsi"/>
          <w:szCs w:val="24"/>
        </w:rPr>
        <w:t xml:space="preserve">engaged in a </w:t>
      </w:r>
      <w:r w:rsidRPr="00EB0264">
        <w:rPr>
          <w:rFonts w:asciiTheme="minorHAnsi" w:hAnsiTheme="minorHAnsi"/>
          <w:szCs w:val="24"/>
        </w:rPr>
        <w:t xml:space="preserve">joint venture; </w:t>
      </w:r>
      <w:r w:rsidR="009F360A" w:rsidRPr="00EB0264">
        <w:rPr>
          <w:rFonts w:asciiTheme="minorHAnsi" w:hAnsiTheme="minorHAnsi"/>
          <w:szCs w:val="24"/>
        </w:rPr>
        <w:t>or</w:t>
      </w:r>
      <w:r w:rsidRPr="00EB0264">
        <w:rPr>
          <w:rFonts w:asciiTheme="minorHAnsi" w:hAnsiTheme="minorHAnsi"/>
          <w:szCs w:val="24"/>
        </w:rPr>
        <w:t xml:space="preserve"> </w:t>
      </w:r>
    </w:p>
    <w:p w14:paraId="01BF1026" w14:textId="77777777" w:rsidR="006928C9" w:rsidRPr="00EB0264" w:rsidRDefault="006B2D6A" w:rsidP="00EB0264">
      <w:pPr>
        <w:pStyle w:val="ListParagraph"/>
        <w:numPr>
          <w:ilvl w:val="0"/>
          <w:numId w:val="11"/>
        </w:numPr>
        <w:ind w:hanging="436"/>
        <w:rPr>
          <w:rFonts w:asciiTheme="minorHAnsi" w:hAnsiTheme="minorHAnsi"/>
          <w:szCs w:val="24"/>
        </w:rPr>
      </w:pPr>
      <w:r w:rsidRPr="00EB0264">
        <w:rPr>
          <w:rFonts w:asciiTheme="minorHAnsi" w:hAnsiTheme="minorHAnsi"/>
          <w:szCs w:val="24"/>
        </w:rPr>
        <w:t xml:space="preserve">represent to any person the </w:t>
      </w:r>
      <w:r w:rsidR="00B12A52" w:rsidRPr="00EB0264">
        <w:rPr>
          <w:rFonts w:asciiTheme="minorHAnsi" w:hAnsiTheme="minorHAnsi"/>
          <w:szCs w:val="24"/>
        </w:rPr>
        <w:t>named entities</w:t>
      </w:r>
      <w:r w:rsidRPr="00EB0264">
        <w:rPr>
          <w:rFonts w:asciiTheme="minorHAnsi" w:hAnsiTheme="minorHAnsi"/>
          <w:szCs w:val="24"/>
        </w:rPr>
        <w:t xml:space="preserve"> </w:t>
      </w:r>
      <w:r w:rsidR="00D03B35" w:rsidRPr="00EB0264">
        <w:rPr>
          <w:rFonts w:asciiTheme="minorHAnsi" w:hAnsiTheme="minorHAnsi"/>
          <w:szCs w:val="24"/>
        </w:rPr>
        <w:t xml:space="preserve">that </w:t>
      </w:r>
      <w:r w:rsidR="00B12A52" w:rsidRPr="00EB0264">
        <w:rPr>
          <w:rFonts w:asciiTheme="minorHAnsi" w:hAnsiTheme="minorHAnsi"/>
          <w:szCs w:val="24"/>
        </w:rPr>
        <w:t>are</w:t>
      </w:r>
      <w:r w:rsidRPr="00EB0264">
        <w:rPr>
          <w:rFonts w:asciiTheme="minorHAnsi" w:hAnsiTheme="minorHAnsi"/>
          <w:szCs w:val="24"/>
        </w:rPr>
        <w:t xml:space="preserve"> a party to</w:t>
      </w:r>
      <w:r w:rsidR="00B12A52" w:rsidRPr="00EB0264">
        <w:rPr>
          <w:rFonts w:asciiTheme="minorHAnsi" w:hAnsiTheme="minorHAnsi"/>
          <w:szCs w:val="24"/>
        </w:rPr>
        <w:t xml:space="preserve"> or involved in</w:t>
      </w:r>
      <w:r w:rsidRPr="00EB0264">
        <w:rPr>
          <w:rFonts w:asciiTheme="minorHAnsi" w:hAnsiTheme="minorHAnsi"/>
          <w:szCs w:val="24"/>
        </w:rPr>
        <w:t xml:space="preserve"> the proposed project (other than as a potential funder, subject to the application process and confidentiality obligations detailed in these guidelines).</w:t>
      </w:r>
    </w:p>
    <w:p w14:paraId="19DB4192" w14:textId="77777777" w:rsidR="006B2D6A" w:rsidRPr="0040698F" w:rsidRDefault="003B0836" w:rsidP="0040698F">
      <w:pPr>
        <w:pStyle w:val="Heading1"/>
        <w:rPr>
          <w:lang w:eastAsia="en-AU"/>
        </w:rPr>
      </w:pPr>
      <w:bookmarkStart w:id="17" w:name="_Toc146102978"/>
      <w:r w:rsidRPr="0040698F">
        <w:rPr>
          <w:lang w:eastAsia="en-AU"/>
        </w:rPr>
        <w:lastRenderedPageBreak/>
        <w:t>1</w:t>
      </w:r>
      <w:r w:rsidR="003462A0">
        <w:rPr>
          <w:lang w:eastAsia="en-AU"/>
        </w:rPr>
        <w:t>1</w:t>
      </w:r>
      <w:r w:rsidR="0040698F">
        <w:rPr>
          <w:lang w:eastAsia="en-AU"/>
        </w:rPr>
        <w:t xml:space="preserve">. </w:t>
      </w:r>
      <w:r w:rsidR="000338D0">
        <w:rPr>
          <w:lang w:eastAsia="en-AU"/>
        </w:rPr>
        <w:tab/>
      </w:r>
      <w:r w:rsidR="006B2D6A" w:rsidRPr="0040698F">
        <w:rPr>
          <w:lang w:eastAsia="en-AU"/>
        </w:rPr>
        <w:t>Participation at applicant’s cost</w:t>
      </w:r>
      <w:bookmarkEnd w:id="17"/>
      <w:r w:rsidR="006B2D6A" w:rsidRPr="0040698F">
        <w:rPr>
          <w:lang w:eastAsia="en-AU"/>
        </w:rPr>
        <w:t xml:space="preserve">  </w:t>
      </w:r>
    </w:p>
    <w:p w14:paraId="0B6F47A0" w14:textId="77777777" w:rsidR="006B2D6A" w:rsidRPr="00EB0264" w:rsidRDefault="006B2D6A" w:rsidP="00EB0264">
      <w:pPr>
        <w:spacing w:after="120"/>
        <w:rPr>
          <w:rFonts w:asciiTheme="minorHAnsi" w:hAnsiTheme="minorHAnsi"/>
          <w:szCs w:val="24"/>
        </w:rPr>
      </w:pPr>
      <w:r w:rsidRPr="00EB0264">
        <w:rPr>
          <w:rFonts w:asciiTheme="minorHAnsi" w:hAnsiTheme="minorHAnsi"/>
          <w:szCs w:val="24"/>
        </w:rPr>
        <w:t xml:space="preserve">Each applicant participates in the </w:t>
      </w:r>
      <w:r w:rsidR="00932BF8">
        <w:rPr>
          <w:rFonts w:asciiTheme="minorHAnsi" w:hAnsiTheme="minorHAnsi"/>
          <w:szCs w:val="24"/>
        </w:rPr>
        <w:t>CENT</w:t>
      </w:r>
      <w:r w:rsidRPr="00EB0264">
        <w:rPr>
          <w:rFonts w:asciiTheme="minorHAnsi" w:hAnsiTheme="minorHAnsi"/>
          <w:szCs w:val="24"/>
        </w:rPr>
        <w:t xml:space="preserve"> at its own cost and risk. </w:t>
      </w:r>
    </w:p>
    <w:p w14:paraId="471B777A" w14:textId="77777777" w:rsidR="00725EDE" w:rsidRPr="00EB0264" w:rsidRDefault="006B2D6A" w:rsidP="00EB0264">
      <w:pPr>
        <w:spacing w:after="120"/>
        <w:rPr>
          <w:rFonts w:asciiTheme="minorHAnsi" w:hAnsiTheme="minorHAnsi"/>
          <w:szCs w:val="24"/>
        </w:rPr>
      </w:pPr>
      <w:r w:rsidRPr="00EB0264">
        <w:rPr>
          <w:rFonts w:asciiTheme="minorHAnsi" w:hAnsiTheme="minorHAnsi"/>
          <w:szCs w:val="24"/>
        </w:rPr>
        <w:t xml:space="preserve">To the extent permitted by law, no applicant will have any claim of any kind whatsoever against </w:t>
      </w:r>
      <w:r w:rsidR="005C0F6C" w:rsidRPr="00EB0264">
        <w:rPr>
          <w:rFonts w:asciiTheme="minorHAnsi" w:hAnsiTheme="minorHAnsi"/>
          <w:szCs w:val="24"/>
        </w:rPr>
        <w:t>the Department</w:t>
      </w:r>
      <w:r w:rsidR="008E17E5" w:rsidRPr="00EB0264">
        <w:rPr>
          <w:rFonts w:asciiTheme="minorHAnsi" w:hAnsiTheme="minorHAnsi"/>
          <w:szCs w:val="24"/>
        </w:rPr>
        <w:t xml:space="preserve"> </w:t>
      </w:r>
      <w:r w:rsidRPr="00EB0264">
        <w:rPr>
          <w:rFonts w:asciiTheme="minorHAnsi" w:hAnsiTheme="minorHAnsi"/>
          <w:szCs w:val="24"/>
        </w:rPr>
        <w:t xml:space="preserve">(whether in contract, tort (including negligence), equity, under statute or otherwise) arising from or in connection with: </w:t>
      </w:r>
    </w:p>
    <w:p w14:paraId="03C35F90" w14:textId="77777777" w:rsidR="00725EDE" w:rsidRPr="00EB0264" w:rsidRDefault="006B2D6A" w:rsidP="00EB0264">
      <w:pPr>
        <w:pStyle w:val="ListParagraph"/>
        <w:numPr>
          <w:ilvl w:val="0"/>
          <w:numId w:val="12"/>
        </w:numPr>
        <w:ind w:hanging="436"/>
        <w:rPr>
          <w:rFonts w:asciiTheme="minorHAnsi" w:hAnsiTheme="minorHAnsi"/>
          <w:szCs w:val="24"/>
        </w:rPr>
      </w:pPr>
      <w:r w:rsidRPr="00EB0264">
        <w:rPr>
          <w:rFonts w:asciiTheme="minorHAnsi" w:hAnsiTheme="minorHAnsi"/>
          <w:szCs w:val="24"/>
        </w:rPr>
        <w:t xml:space="preserve">any costs, expenses, losses or liabilities suffered or incurred by the applicant in preparing and submitting its application (including any amendments, requests for further information by the </w:t>
      </w:r>
      <w:r w:rsidR="008E17E5" w:rsidRPr="00EB0264">
        <w:rPr>
          <w:rFonts w:asciiTheme="minorHAnsi" w:hAnsiTheme="minorHAnsi"/>
          <w:szCs w:val="24"/>
        </w:rPr>
        <w:t xml:space="preserve">Department </w:t>
      </w:r>
      <w:r w:rsidRPr="00EB0264">
        <w:rPr>
          <w:rFonts w:asciiTheme="minorHAnsi" w:hAnsiTheme="minorHAnsi"/>
          <w:szCs w:val="24"/>
        </w:rPr>
        <w:t xml:space="preserve">attendance at meetings or involvement in discussions) or otherwise in connection with the </w:t>
      </w:r>
      <w:r w:rsidR="00932BF8">
        <w:rPr>
          <w:rFonts w:asciiTheme="minorHAnsi" w:hAnsiTheme="minorHAnsi"/>
          <w:szCs w:val="24"/>
        </w:rPr>
        <w:t>CENT</w:t>
      </w:r>
      <w:r w:rsidRPr="00EB0264">
        <w:rPr>
          <w:rFonts w:asciiTheme="minorHAnsi" w:hAnsiTheme="minorHAnsi"/>
          <w:szCs w:val="24"/>
        </w:rPr>
        <w:t>;</w:t>
      </w:r>
    </w:p>
    <w:p w14:paraId="7935BB6D" w14:textId="77777777" w:rsidR="00725EDE" w:rsidRPr="00EB0264" w:rsidRDefault="006B2D6A" w:rsidP="00EB0264">
      <w:pPr>
        <w:pStyle w:val="ListParagraph"/>
        <w:numPr>
          <w:ilvl w:val="0"/>
          <w:numId w:val="12"/>
        </w:numPr>
        <w:ind w:hanging="436"/>
        <w:rPr>
          <w:rFonts w:asciiTheme="minorHAnsi" w:hAnsiTheme="minorHAnsi"/>
          <w:szCs w:val="24"/>
        </w:rPr>
      </w:pPr>
      <w:r w:rsidRPr="00EB0264">
        <w:rPr>
          <w:rFonts w:asciiTheme="minorHAnsi" w:hAnsiTheme="minorHAnsi"/>
          <w:szCs w:val="24"/>
        </w:rPr>
        <w:t xml:space="preserve">the </w:t>
      </w:r>
      <w:r w:rsidR="008E17E5" w:rsidRPr="00EB0264">
        <w:rPr>
          <w:rFonts w:asciiTheme="minorHAnsi" w:hAnsiTheme="minorHAnsi"/>
          <w:szCs w:val="24"/>
        </w:rPr>
        <w:t>Department,</w:t>
      </w:r>
      <w:r w:rsidRPr="00EB0264">
        <w:rPr>
          <w:rFonts w:asciiTheme="minorHAnsi" w:hAnsiTheme="minorHAnsi"/>
          <w:szCs w:val="24"/>
        </w:rPr>
        <w:t xml:space="preserve"> at any time exercising or failing to exercise, in its absolute discretion, any rights it has under or in connection with the </w:t>
      </w:r>
      <w:r w:rsidR="00932BF8">
        <w:rPr>
          <w:rFonts w:asciiTheme="minorHAnsi" w:hAnsiTheme="minorHAnsi"/>
          <w:szCs w:val="24"/>
        </w:rPr>
        <w:t>CENT</w:t>
      </w:r>
      <w:r w:rsidRPr="00EB0264">
        <w:rPr>
          <w:rFonts w:asciiTheme="minorHAnsi" w:hAnsiTheme="minorHAnsi"/>
          <w:szCs w:val="24"/>
        </w:rPr>
        <w:t xml:space="preserve">; or </w:t>
      </w:r>
    </w:p>
    <w:p w14:paraId="1D643392" w14:textId="77777777" w:rsidR="006B2D6A" w:rsidRPr="00EB0264" w:rsidRDefault="006B2D6A" w:rsidP="00EB0264">
      <w:pPr>
        <w:pStyle w:val="ListParagraph"/>
        <w:numPr>
          <w:ilvl w:val="0"/>
          <w:numId w:val="12"/>
        </w:numPr>
        <w:ind w:hanging="436"/>
        <w:rPr>
          <w:rFonts w:asciiTheme="minorHAnsi" w:hAnsiTheme="minorHAnsi"/>
          <w:szCs w:val="24"/>
        </w:rPr>
      </w:pPr>
      <w:r w:rsidRPr="00EB0264">
        <w:rPr>
          <w:rFonts w:asciiTheme="minorHAnsi" w:hAnsiTheme="minorHAnsi"/>
          <w:szCs w:val="24"/>
        </w:rPr>
        <w:t xml:space="preserve">any of the matters or things relevant to its application or the </w:t>
      </w:r>
      <w:r w:rsidR="00932BF8">
        <w:rPr>
          <w:rFonts w:asciiTheme="minorHAnsi" w:hAnsiTheme="minorHAnsi"/>
          <w:szCs w:val="24"/>
        </w:rPr>
        <w:t>CENT</w:t>
      </w:r>
      <w:r w:rsidRPr="00EB0264">
        <w:rPr>
          <w:rFonts w:asciiTheme="minorHAnsi" w:hAnsiTheme="minorHAnsi"/>
          <w:szCs w:val="24"/>
        </w:rPr>
        <w:t xml:space="preserve"> in respect of which the applicant must satisfy itself, including under these guidelines. </w:t>
      </w:r>
    </w:p>
    <w:p w14:paraId="281B1BF7" w14:textId="77777777" w:rsidR="006B2D6A" w:rsidRPr="00EB0264" w:rsidRDefault="006B2D6A" w:rsidP="00EB0264">
      <w:pPr>
        <w:spacing w:after="120"/>
        <w:rPr>
          <w:rFonts w:asciiTheme="minorHAnsi" w:hAnsiTheme="minorHAnsi"/>
          <w:szCs w:val="24"/>
        </w:rPr>
      </w:pPr>
      <w:r w:rsidRPr="00EB0264">
        <w:rPr>
          <w:rFonts w:asciiTheme="minorHAnsi" w:hAnsiTheme="minorHAnsi"/>
          <w:szCs w:val="24"/>
        </w:rPr>
        <w:t xml:space="preserve">Without limiting the foregoing, if the </w:t>
      </w:r>
      <w:r w:rsidR="008E17E5" w:rsidRPr="00EB0264">
        <w:rPr>
          <w:rFonts w:asciiTheme="minorHAnsi" w:hAnsiTheme="minorHAnsi"/>
          <w:szCs w:val="24"/>
        </w:rPr>
        <w:t xml:space="preserve">Department </w:t>
      </w:r>
      <w:r w:rsidRPr="00EB0264">
        <w:rPr>
          <w:rFonts w:asciiTheme="minorHAnsi" w:hAnsiTheme="minorHAnsi"/>
          <w:szCs w:val="24"/>
        </w:rPr>
        <w:t xml:space="preserve">cancels or varies the </w:t>
      </w:r>
      <w:r w:rsidR="00932BF8">
        <w:rPr>
          <w:rFonts w:asciiTheme="minorHAnsi" w:hAnsiTheme="minorHAnsi"/>
          <w:szCs w:val="24"/>
        </w:rPr>
        <w:t>CENT</w:t>
      </w:r>
      <w:r w:rsidRPr="00EB0264">
        <w:rPr>
          <w:rFonts w:asciiTheme="minorHAnsi" w:hAnsiTheme="minorHAnsi"/>
          <w:szCs w:val="24"/>
        </w:rPr>
        <w:t xml:space="preserve"> at any time or does not select any applicant following its assessment of the applications, or does (or fails to do) any other thing referred to under these </w:t>
      </w:r>
      <w:r w:rsidR="008E17E5" w:rsidRPr="00EB0264">
        <w:rPr>
          <w:rFonts w:asciiTheme="minorHAnsi" w:hAnsiTheme="minorHAnsi"/>
          <w:szCs w:val="24"/>
        </w:rPr>
        <w:t xml:space="preserve"> terms and conditions</w:t>
      </w:r>
      <w:r w:rsidRPr="00EB0264">
        <w:rPr>
          <w:rFonts w:asciiTheme="minorHAnsi" w:hAnsiTheme="minorHAnsi"/>
          <w:szCs w:val="24"/>
        </w:rPr>
        <w:t xml:space="preserve">, no applicant will have any claim against the </w:t>
      </w:r>
      <w:r w:rsidR="008E17E5" w:rsidRPr="00EB0264">
        <w:rPr>
          <w:rFonts w:asciiTheme="minorHAnsi" w:hAnsiTheme="minorHAnsi"/>
          <w:szCs w:val="24"/>
        </w:rPr>
        <w:t xml:space="preserve">Department </w:t>
      </w:r>
      <w:r w:rsidRPr="00EB0264">
        <w:rPr>
          <w:rFonts w:asciiTheme="minorHAnsi" w:hAnsiTheme="minorHAnsi"/>
          <w:szCs w:val="24"/>
        </w:rPr>
        <w:t xml:space="preserve">arising from or in connection with any costs, expenses, losses or liabilities incurred by the applicant in preparing and submitting its application or otherwise in connection with or in relation (whether directly or indirectly) to the </w:t>
      </w:r>
      <w:r w:rsidR="00932BF8">
        <w:rPr>
          <w:rFonts w:asciiTheme="minorHAnsi" w:hAnsiTheme="minorHAnsi"/>
          <w:szCs w:val="24"/>
        </w:rPr>
        <w:t>CENT</w:t>
      </w:r>
      <w:r w:rsidRPr="00EB0264">
        <w:rPr>
          <w:rFonts w:asciiTheme="minorHAnsi" w:hAnsiTheme="minorHAnsi"/>
          <w:szCs w:val="24"/>
        </w:rPr>
        <w:t xml:space="preserve">. </w:t>
      </w:r>
    </w:p>
    <w:p w14:paraId="330CA7DA" w14:textId="77777777" w:rsidR="006B2D6A" w:rsidRPr="0040698F" w:rsidRDefault="003B0836" w:rsidP="0040698F">
      <w:pPr>
        <w:pStyle w:val="Heading1"/>
        <w:rPr>
          <w:lang w:eastAsia="en-AU"/>
        </w:rPr>
      </w:pPr>
      <w:bookmarkStart w:id="18" w:name="_Toc146102979"/>
      <w:r w:rsidRPr="0040698F">
        <w:rPr>
          <w:lang w:eastAsia="en-AU"/>
        </w:rPr>
        <w:t>1</w:t>
      </w:r>
      <w:r w:rsidR="003462A0">
        <w:rPr>
          <w:lang w:eastAsia="en-AU"/>
        </w:rPr>
        <w:t>2</w:t>
      </w:r>
      <w:r w:rsidR="0040698F">
        <w:rPr>
          <w:lang w:eastAsia="en-AU"/>
        </w:rPr>
        <w:t>.</w:t>
      </w:r>
      <w:r w:rsidR="000338D0">
        <w:rPr>
          <w:lang w:eastAsia="en-AU"/>
        </w:rPr>
        <w:t xml:space="preserve"> </w:t>
      </w:r>
      <w:r w:rsidR="000338D0">
        <w:rPr>
          <w:lang w:eastAsia="en-AU"/>
        </w:rPr>
        <w:tab/>
        <w:t>I</w:t>
      </w:r>
      <w:r w:rsidR="006B2D6A" w:rsidRPr="0040698F">
        <w:rPr>
          <w:lang w:eastAsia="en-AU"/>
        </w:rPr>
        <w:t>ntellectual property</w:t>
      </w:r>
      <w:bookmarkEnd w:id="18"/>
      <w:r w:rsidR="006B2D6A" w:rsidRPr="0040698F">
        <w:rPr>
          <w:lang w:eastAsia="en-AU"/>
        </w:rPr>
        <w:t xml:space="preserve"> </w:t>
      </w:r>
    </w:p>
    <w:p w14:paraId="079016DD" w14:textId="77777777" w:rsidR="006B2D6A" w:rsidRPr="00EB0264" w:rsidRDefault="006B2D6A" w:rsidP="00EB0264">
      <w:pPr>
        <w:spacing w:after="120"/>
        <w:rPr>
          <w:rFonts w:asciiTheme="minorHAnsi" w:hAnsiTheme="minorHAnsi"/>
          <w:szCs w:val="24"/>
        </w:rPr>
      </w:pPr>
      <w:r w:rsidRPr="00EB0264">
        <w:rPr>
          <w:rFonts w:asciiTheme="minorHAnsi" w:hAnsiTheme="minorHAnsi"/>
          <w:szCs w:val="24"/>
        </w:rPr>
        <w:t xml:space="preserve">Any intellectual property rights that may exist in an application will remain the property of the applicant or the rightful </w:t>
      </w:r>
      <w:r w:rsidR="002534C3" w:rsidRPr="00EB0264">
        <w:rPr>
          <w:rFonts w:asciiTheme="minorHAnsi" w:hAnsiTheme="minorHAnsi"/>
          <w:szCs w:val="24"/>
        </w:rPr>
        <w:t xml:space="preserve">third party </w:t>
      </w:r>
      <w:r w:rsidRPr="00EB0264">
        <w:rPr>
          <w:rFonts w:asciiTheme="minorHAnsi" w:hAnsiTheme="minorHAnsi"/>
          <w:szCs w:val="24"/>
        </w:rPr>
        <w:t>owner of those intellectual property rights.  Any part of an application considered to contain any intellectual property rights should be clearly identified by the applicant</w:t>
      </w:r>
      <w:r w:rsidR="002534C3" w:rsidRPr="00EB0264">
        <w:rPr>
          <w:rFonts w:asciiTheme="minorHAnsi" w:hAnsiTheme="minorHAnsi"/>
          <w:szCs w:val="24"/>
        </w:rPr>
        <w:t xml:space="preserve"> and where a third party or parties hold any intellectual property rights in any part of an application the applicant warrants to the Department that it is authorised by that third party </w:t>
      </w:r>
      <w:r w:rsidR="0007520D" w:rsidRPr="00EB0264">
        <w:rPr>
          <w:rFonts w:asciiTheme="minorHAnsi" w:hAnsiTheme="minorHAnsi"/>
          <w:szCs w:val="24"/>
        </w:rPr>
        <w:t>to use</w:t>
      </w:r>
      <w:r w:rsidR="002534C3" w:rsidRPr="00EB0264">
        <w:rPr>
          <w:rFonts w:asciiTheme="minorHAnsi" w:hAnsiTheme="minorHAnsi"/>
          <w:szCs w:val="24"/>
        </w:rPr>
        <w:t xml:space="preserve"> and disclose that intellectual property for the purposes of the making of and the management of the application until such time as a funding agreement is executed.</w:t>
      </w:r>
    </w:p>
    <w:p w14:paraId="3DC9C665" w14:textId="77777777" w:rsidR="003462A0" w:rsidRPr="00EB0264" w:rsidRDefault="006B2D6A" w:rsidP="00EB0264">
      <w:pPr>
        <w:spacing w:after="120"/>
        <w:rPr>
          <w:rFonts w:asciiTheme="minorHAnsi" w:hAnsiTheme="minorHAnsi"/>
          <w:szCs w:val="24"/>
        </w:rPr>
      </w:pPr>
      <w:r w:rsidRPr="00EB0264">
        <w:rPr>
          <w:rFonts w:asciiTheme="minorHAnsi" w:hAnsiTheme="minorHAnsi"/>
          <w:szCs w:val="24"/>
        </w:rPr>
        <w:t xml:space="preserve">The applicant grants to the </w:t>
      </w:r>
      <w:r w:rsidR="008E17E5" w:rsidRPr="00EB0264">
        <w:rPr>
          <w:rFonts w:asciiTheme="minorHAnsi" w:hAnsiTheme="minorHAnsi"/>
          <w:szCs w:val="24"/>
        </w:rPr>
        <w:t xml:space="preserve">Department </w:t>
      </w:r>
      <w:r w:rsidRPr="00EB0264">
        <w:rPr>
          <w:rFonts w:asciiTheme="minorHAnsi" w:hAnsiTheme="minorHAnsi"/>
          <w:szCs w:val="24"/>
        </w:rPr>
        <w:t>(and will ensure that relevant third parties grant) a non</w:t>
      </w:r>
      <w:r w:rsidR="009F360A" w:rsidRPr="00EB0264">
        <w:rPr>
          <w:rFonts w:asciiTheme="minorHAnsi" w:hAnsiTheme="minorHAnsi"/>
          <w:szCs w:val="24"/>
        </w:rPr>
        <w:noBreakHyphen/>
      </w:r>
      <w:r w:rsidRPr="00EB0264">
        <w:rPr>
          <w:rFonts w:asciiTheme="minorHAnsi" w:hAnsiTheme="minorHAnsi"/>
          <w:szCs w:val="24"/>
        </w:rPr>
        <w:t xml:space="preserve">exclusive, irrevocable licence to use and reproduce the intellectual property for the purpose of administering the </w:t>
      </w:r>
      <w:r w:rsidR="00932BF8">
        <w:rPr>
          <w:rFonts w:asciiTheme="minorHAnsi" w:hAnsiTheme="minorHAnsi"/>
          <w:szCs w:val="24"/>
        </w:rPr>
        <w:t>CENT</w:t>
      </w:r>
      <w:r w:rsidRPr="00EB0264">
        <w:rPr>
          <w:rFonts w:asciiTheme="minorHAnsi" w:hAnsiTheme="minorHAnsi"/>
          <w:szCs w:val="24"/>
        </w:rPr>
        <w:t xml:space="preserve">. </w:t>
      </w:r>
      <w:r w:rsidR="00CE00B9" w:rsidRPr="00EB0264">
        <w:rPr>
          <w:rFonts w:asciiTheme="minorHAnsi" w:hAnsiTheme="minorHAnsi"/>
          <w:szCs w:val="24"/>
        </w:rPr>
        <w:t xml:space="preserve"> The funding agreement will contain specific provisions about intellectual property.</w:t>
      </w:r>
    </w:p>
    <w:p w14:paraId="00CCEDAE" w14:textId="77777777" w:rsidR="006B2D6A" w:rsidRPr="000338D0" w:rsidRDefault="003B0836" w:rsidP="000338D0">
      <w:pPr>
        <w:pStyle w:val="Heading1"/>
        <w:rPr>
          <w:lang w:eastAsia="en-AU"/>
        </w:rPr>
      </w:pPr>
      <w:bookmarkStart w:id="19" w:name="_Toc146102980"/>
      <w:r w:rsidRPr="000338D0">
        <w:rPr>
          <w:lang w:eastAsia="en-AU"/>
        </w:rPr>
        <w:t>1</w:t>
      </w:r>
      <w:r w:rsidR="003462A0">
        <w:rPr>
          <w:lang w:eastAsia="en-AU"/>
        </w:rPr>
        <w:t>3</w:t>
      </w:r>
      <w:r w:rsidR="0040698F" w:rsidRPr="000338D0">
        <w:rPr>
          <w:lang w:eastAsia="en-AU"/>
        </w:rPr>
        <w:t>.</w:t>
      </w:r>
      <w:r w:rsidRPr="000338D0">
        <w:rPr>
          <w:lang w:eastAsia="en-AU"/>
        </w:rPr>
        <w:t xml:space="preserve"> </w:t>
      </w:r>
      <w:r w:rsidR="000338D0">
        <w:rPr>
          <w:lang w:eastAsia="en-AU"/>
        </w:rPr>
        <w:tab/>
      </w:r>
      <w:r w:rsidR="006B2D6A" w:rsidRPr="000338D0">
        <w:rPr>
          <w:lang w:eastAsia="en-AU"/>
        </w:rPr>
        <w:t>Privacy</w:t>
      </w:r>
      <w:bookmarkEnd w:id="19"/>
      <w:r w:rsidR="006B2D6A" w:rsidRPr="000338D0">
        <w:rPr>
          <w:lang w:eastAsia="en-AU"/>
        </w:rPr>
        <w:t xml:space="preserve"> </w:t>
      </w:r>
    </w:p>
    <w:p w14:paraId="50C6EFA5" w14:textId="77777777" w:rsidR="00A1103A" w:rsidRPr="00EB0264" w:rsidRDefault="00A1103A" w:rsidP="00EB0264">
      <w:pPr>
        <w:spacing w:after="120"/>
        <w:rPr>
          <w:lang w:eastAsia="en-AU"/>
        </w:rPr>
      </w:pPr>
      <w:r w:rsidRPr="00EB0264">
        <w:rPr>
          <w:lang w:eastAsia="en-AU"/>
        </w:rPr>
        <w:t xml:space="preserve">All </w:t>
      </w:r>
      <w:r w:rsidR="009F360A" w:rsidRPr="00EB0264">
        <w:rPr>
          <w:lang w:eastAsia="en-AU"/>
        </w:rPr>
        <w:t>p</w:t>
      </w:r>
      <w:r w:rsidRPr="00EB0264">
        <w:rPr>
          <w:lang w:eastAsia="en-AU"/>
        </w:rPr>
        <w:t>articipants acknowledge that the Department</w:t>
      </w:r>
      <w:r w:rsidR="00D3019D" w:rsidRPr="00EB0264">
        <w:rPr>
          <w:lang w:eastAsia="en-AU"/>
        </w:rPr>
        <w:t xml:space="preserve"> </w:t>
      </w:r>
      <w:r w:rsidRPr="00EB0264">
        <w:rPr>
          <w:lang w:eastAsia="en-AU"/>
        </w:rPr>
        <w:t xml:space="preserve">will, in addition to anything specifically referred to in these Terms and Conditions, conduct such due diligence enquiries as it sees fit throughout the participation process and through the term of any </w:t>
      </w:r>
      <w:r w:rsidR="009F360A" w:rsidRPr="00EB0264">
        <w:rPr>
          <w:lang w:eastAsia="en-AU"/>
        </w:rPr>
        <w:t>a</w:t>
      </w:r>
      <w:r w:rsidRPr="00EB0264">
        <w:rPr>
          <w:lang w:eastAsia="en-AU"/>
        </w:rPr>
        <w:t xml:space="preserve">greement, in order to ensure the integrity of the </w:t>
      </w:r>
      <w:r w:rsidR="00932BF8">
        <w:rPr>
          <w:lang w:eastAsia="en-AU"/>
        </w:rPr>
        <w:t>CENT</w:t>
      </w:r>
      <w:r w:rsidR="00C97055" w:rsidRPr="00EB0264">
        <w:rPr>
          <w:lang w:eastAsia="en-AU"/>
        </w:rPr>
        <w:t xml:space="preserve"> </w:t>
      </w:r>
      <w:r w:rsidRPr="00EB0264">
        <w:rPr>
          <w:lang w:eastAsia="en-AU"/>
        </w:rPr>
        <w:t>and that the allocated funding is to be used strictly</w:t>
      </w:r>
      <w:r w:rsidR="001D0F3B" w:rsidRPr="00EB0264">
        <w:rPr>
          <w:lang w:eastAsia="en-AU"/>
        </w:rPr>
        <w:t xml:space="preserve"> for the purpose stated in the application</w:t>
      </w:r>
      <w:r w:rsidR="00C97055" w:rsidRPr="00EB0264">
        <w:rPr>
          <w:lang w:eastAsia="en-AU"/>
        </w:rPr>
        <w:t>/agreement</w:t>
      </w:r>
      <w:r w:rsidR="001D0F3B" w:rsidRPr="00EB0264">
        <w:rPr>
          <w:lang w:eastAsia="en-AU"/>
        </w:rPr>
        <w:t>.</w:t>
      </w:r>
      <w:r w:rsidRPr="00EB0264">
        <w:rPr>
          <w:lang w:eastAsia="en-AU"/>
        </w:rPr>
        <w:t xml:space="preserve"> Such enquiries may include (but are not necessarily limited to) company, association and business name searches on a Business, title and other searches for the Premises, searches of the courts and/ or the Trustee in Bankruptcy, credit checks, and enquiries of private businesses or institutions as the Department sees fit, together with any enquiries as to matters contained in its application.</w:t>
      </w:r>
      <w:r w:rsidR="00B0078B">
        <w:rPr>
          <w:lang w:eastAsia="en-AU"/>
        </w:rPr>
        <w:t xml:space="preserve"> </w:t>
      </w:r>
    </w:p>
    <w:p w14:paraId="7AE47910" w14:textId="77777777" w:rsidR="00A1103A" w:rsidRPr="00EB0264" w:rsidRDefault="00A1103A" w:rsidP="00EB0264">
      <w:pPr>
        <w:spacing w:after="120"/>
        <w:rPr>
          <w:lang w:eastAsia="en-AU"/>
        </w:rPr>
      </w:pPr>
      <w:r w:rsidRPr="00EB0264">
        <w:rPr>
          <w:lang w:eastAsia="en-AU"/>
        </w:rPr>
        <w:t xml:space="preserve">All Participants must be solvent at the time of participating in </w:t>
      </w:r>
      <w:r w:rsidR="005C0F6C" w:rsidRPr="00EB0264">
        <w:rPr>
          <w:lang w:eastAsia="en-AU"/>
        </w:rPr>
        <w:t xml:space="preserve">the </w:t>
      </w:r>
      <w:r w:rsidR="00932BF8">
        <w:rPr>
          <w:lang w:eastAsia="en-AU"/>
        </w:rPr>
        <w:t>CENT</w:t>
      </w:r>
      <w:r w:rsidRPr="00EB0264">
        <w:rPr>
          <w:lang w:eastAsia="en-AU"/>
        </w:rPr>
        <w:t xml:space="preserve"> and must have no reason to believe that they may become insolvent during the period of their participation in</w:t>
      </w:r>
      <w:r w:rsidR="005C0F6C" w:rsidRPr="00EB0264">
        <w:rPr>
          <w:lang w:eastAsia="en-AU"/>
        </w:rPr>
        <w:t xml:space="preserve"> the </w:t>
      </w:r>
      <w:r w:rsidR="00932BF8">
        <w:rPr>
          <w:lang w:eastAsia="en-AU"/>
        </w:rPr>
        <w:t>CENT</w:t>
      </w:r>
      <w:r w:rsidRPr="00EB0264">
        <w:rPr>
          <w:lang w:eastAsia="en-AU"/>
        </w:rPr>
        <w:t xml:space="preserve">. If a Participant has an external administrator or liquidator appointed or the </w:t>
      </w:r>
      <w:r w:rsidR="006814D7" w:rsidRPr="00EB0264">
        <w:rPr>
          <w:lang w:eastAsia="en-AU"/>
        </w:rPr>
        <w:t>Department receives</w:t>
      </w:r>
      <w:r w:rsidRPr="00EB0264">
        <w:rPr>
          <w:lang w:eastAsia="en-AU"/>
        </w:rPr>
        <w:t xml:space="preserve"> other </w:t>
      </w:r>
      <w:r w:rsidRPr="00EB0264">
        <w:rPr>
          <w:lang w:eastAsia="en-AU"/>
        </w:rPr>
        <w:lastRenderedPageBreak/>
        <w:t xml:space="preserve">evidence of insolvency then the Department may (but is not obliged to) terminate participation by the insolvent entity (acting reasonably having regard to the circumstances). </w:t>
      </w:r>
    </w:p>
    <w:p w14:paraId="2A05443D" w14:textId="77777777" w:rsidR="00A1103A" w:rsidRPr="00EB0264" w:rsidRDefault="00A1103A" w:rsidP="00EB0264">
      <w:pPr>
        <w:spacing w:after="120"/>
        <w:rPr>
          <w:lang w:eastAsia="en-AU"/>
        </w:rPr>
      </w:pPr>
      <w:r w:rsidRPr="00EB0264">
        <w:rPr>
          <w:lang w:eastAsia="en-AU"/>
        </w:rPr>
        <w:t xml:space="preserve">All Participants in </w:t>
      </w:r>
      <w:r w:rsidR="006814D7" w:rsidRPr="00EB0264">
        <w:rPr>
          <w:lang w:eastAsia="en-AU"/>
        </w:rPr>
        <w:t>the</w:t>
      </w:r>
      <w:r w:rsidR="008E17E5" w:rsidRPr="00EB0264">
        <w:rPr>
          <w:lang w:eastAsia="en-AU"/>
        </w:rPr>
        <w:t xml:space="preserve"> </w:t>
      </w:r>
      <w:r w:rsidR="00932BF8">
        <w:rPr>
          <w:lang w:eastAsia="en-AU"/>
        </w:rPr>
        <w:t>CENT</w:t>
      </w:r>
      <w:r w:rsidRPr="00EB0264">
        <w:rPr>
          <w:lang w:eastAsia="en-AU"/>
        </w:rPr>
        <w:t xml:space="preserve"> acknowledge and accept that the Department</w:t>
      </w:r>
      <w:r w:rsidR="001D0F3B" w:rsidRPr="00EB0264">
        <w:rPr>
          <w:lang w:eastAsia="en-AU"/>
        </w:rPr>
        <w:t xml:space="preserve"> </w:t>
      </w:r>
      <w:r w:rsidRPr="00EB0264">
        <w:rPr>
          <w:lang w:eastAsia="en-AU"/>
        </w:rPr>
        <w:t>will seek from, and share, information with other Northern Territory Government agencies, as well as such external professional advisers as it may need to do in order to assess eligibility, such as conveyancers/ solicitors.</w:t>
      </w:r>
    </w:p>
    <w:p w14:paraId="2717A184" w14:textId="77777777" w:rsidR="00A1103A" w:rsidRPr="00EB0264" w:rsidRDefault="00A1103A" w:rsidP="00EB0264">
      <w:pPr>
        <w:spacing w:after="120"/>
        <w:rPr>
          <w:lang w:eastAsia="en-AU"/>
        </w:rPr>
      </w:pPr>
      <w:r w:rsidRPr="00EB0264">
        <w:rPr>
          <w:lang w:eastAsia="en-AU"/>
        </w:rPr>
        <w:t xml:space="preserve">Personal information may be collected as part of the application process and will be used to assess your eligibility for </w:t>
      </w:r>
      <w:r w:rsidR="006814D7" w:rsidRPr="00EB0264">
        <w:rPr>
          <w:lang w:eastAsia="en-AU"/>
        </w:rPr>
        <w:t xml:space="preserve">the </w:t>
      </w:r>
      <w:r w:rsidR="00932BF8">
        <w:rPr>
          <w:lang w:eastAsia="en-AU"/>
        </w:rPr>
        <w:t>CENT</w:t>
      </w:r>
      <w:r w:rsidRPr="00EB0264">
        <w:rPr>
          <w:lang w:eastAsia="en-AU"/>
        </w:rPr>
        <w:t>, including conducting due diligence, and if approved, subsequent</w:t>
      </w:r>
      <w:r w:rsidR="008E17E5" w:rsidRPr="00EB0264">
        <w:rPr>
          <w:lang w:eastAsia="en-AU"/>
        </w:rPr>
        <w:t xml:space="preserve"> </w:t>
      </w:r>
      <w:r w:rsidR="00932BF8">
        <w:rPr>
          <w:lang w:eastAsia="en-AU"/>
        </w:rPr>
        <w:t>CENT</w:t>
      </w:r>
      <w:r w:rsidRPr="00EB0264">
        <w:rPr>
          <w:lang w:eastAsia="en-AU"/>
        </w:rPr>
        <w:t xml:space="preserve"> management and administration.</w:t>
      </w:r>
    </w:p>
    <w:p w14:paraId="509C181F" w14:textId="77777777" w:rsidR="00A1103A" w:rsidRPr="00EB0264" w:rsidRDefault="00A1103A" w:rsidP="00EB0264">
      <w:pPr>
        <w:spacing w:after="120"/>
      </w:pPr>
      <w:r w:rsidRPr="00EB0264">
        <w:rPr>
          <w:rFonts w:asciiTheme="minorHAnsi" w:hAnsiTheme="minorHAnsi" w:cstheme="minorHAnsi"/>
        </w:rPr>
        <w:t xml:space="preserve">The Department has a legal obligation under the </w:t>
      </w:r>
      <w:r w:rsidRPr="00EB0264">
        <w:rPr>
          <w:rFonts w:asciiTheme="minorHAnsi" w:hAnsiTheme="minorHAnsi" w:cstheme="minorHAnsi"/>
          <w:i/>
        </w:rPr>
        <w:t>Information Act</w:t>
      </w:r>
      <w:r w:rsidR="001D0F3B" w:rsidRPr="00EB0264">
        <w:rPr>
          <w:rFonts w:asciiTheme="minorHAnsi" w:hAnsiTheme="minorHAnsi" w:cstheme="minorHAnsi"/>
          <w:i/>
        </w:rPr>
        <w:t xml:space="preserve"> 2002</w:t>
      </w:r>
      <w:r w:rsidRPr="00EB0264">
        <w:rPr>
          <w:rFonts w:asciiTheme="minorHAnsi" w:hAnsiTheme="minorHAnsi" w:cstheme="minorHAnsi"/>
          <w:i/>
        </w:rPr>
        <w:t xml:space="preserve"> (NT)</w:t>
      </w:r>
      <w:r w:rsidRPr="00EB0264">
        <w:rPr>
          <w:rFonts w:asciiTheme="minorHAnsi" w:hAnsiTheme="minorHAnsi" w:cstheme="minorHAnsi"/>
        </w:rPr>
        <w:t xml:space="preserve"> not to disclose personal information other than for the primary purpose for which it was collected, unless otherwise agreed to or authorised by law.</w:t>
      </w:r>
      <w:r w:rsidRPr="00EB0264">
        <w:t xml:space="preserve"> </w:t>
      </w:r>
    </w:p>
    <w:p w14:paraId="0F564EEE" w14:textId="77777777" w:rsidR="00A1103A" w:rsidRPr="00EB0264" w:rsidRDefault="00A1103A" w:rsidP="00EB0264">
      <w:pPr>
        <w:spacing w:after="120"/>
        <w:rPr>
          <w:rStyle w:val="Hyperlink"/>
          <w:rFonts w:asciiTheme="minorHAnsi" w:hAnsiTheme="minorHAnsi" w:cstheme="minorHAnsi"/>
        </w:rPr>
      </w:pPr>
      <w:r w:rsidRPr="00EB0264">
        <w:rPr>
          <w:rFonts w:asciiTheme="minorHAnsi" w:hAnsiTheme="minorHAnsi" w:cstheme="minorHAnsi"/>
        </w:rPr>
        <w:t>The Department</w:t>
      </w:r>
      <w:r w:rsidR="002B4433" w:rsidRPr="00EB0264">
        <w:rPr>
          <w:rFonts w:asciiTheme="minorHAnsi" w:hAnsiTheme="minorHAnsi" w:cstheme="minorHAnsi"/>
        </w:rPr>
        <w:t xml:space="preserve"> </w:t>
      </w:r>
      <w:r w:rsidRPr="00EB0264">
        <w:rPr>
          <w:rFonts w:asciiTheme="minorHAnsi" w:hAnsiTheme="minorHAnsi" w:cstheme="minorHAnsi"/>
        </w:rPr>
        <w:t xml:space="preserve">will handle your personal information in accordance with its </w:t>
      </w:r>
      <w:hyperlink r:id="rId13" w:history="1">
        <w:r w:rsidRPr="00EB0264">
          <w:rPr>
            <w:rStyle w:val="Hyperlink"/>
            <w:rFonts w:asciiTheme="minorHAnsi" w:hAnsiTheme="minorHAnsi" w:cstheme="minorHAnsi"/>
          </w:rPr>
          <w:t>Privacy Policy</w:t>
        </w:r>
      </w:hyperlink>
      <w:r w:rsidRPr="00EB0264">
        <w:rPr>
          <w:rFonts w:asciiTheme="minorHAnsi" w:hAnsiTheme="minorHAnsi" w:cstheme="minorHAnsi"/>
          <w:color w:val="FF0000"/>
        </w:rPr>
        <w:t xml:space="preserve"> </w:t>
      </w:r>
      <w:r w:rsidRPr="00EB0264">
        <w:rPr>
          <w:rFonts w:asciiTheme="minorHAnsi" w:hAnsiTheme="minorHAnsi" w:cstheme="minorHAnsi"/>
        </w:rPr>
        <w:t xml:space="preserve">which outlines how you can access or seek to correct your personal information, or lodge a complaint about a breach of the Northern Territory’s Privacy Principles. </w:t>
      </w:r>
    </w:p>
    <w:p w14:paraId="7D1EC8FD" w14:textId="77777777" w:rsidR="00A1103A" w:rsidRPr="00EB0264" w:rsidRDefault="00A1103A" w:rsidP="00EB0264">
      <w:pPr>
        <w:spacing w:after="120"/>
      </w:pPr>
      <w:r w:rsidRPr="00EB0264">
        <w:rPr>
          <w:lang w:eastAsia="en-AU"/>
        </w:rPr>
        <w:t xml:space="preserve">In addition to the Privacy Laws, the Department is subject to, and may do anything in connection with </w:t>
      </w:r>
      <w:r w:rsidR="006814D7" w:rsidRPr="00EB0264">
        <w:rPr>
          <w:lang w:eastAsia="en-AU"/>
        </w:rPr>
        <w:t xml:space="preserve">the </w:t>
      </w:r>
      <w:r w:rsidR="00932BF8">
        <w:rPr>
          <w:lang w:eastAsia="en-AU"/>
        </w:rPr>
        <w:t>CENT</w:t>
      </w:r>
      <w:r w:rsidR="008E17E5" w:rsidRPr="00EB0264">
        <w:rPr>
          <w:lang w:eastAsia="en-AU"/>
        </w:rPr>
        <w:t xml:space="preserve"> </w:t>
      </w:r>
      <w:r w:rsidRPr="00EB0264">
        <w:rPr>
          <w:lang w:eastAsia="en-AU"/>
        </w:rPr>
        <w:t xml:space="preserve">that may be required for compliance with the </w:t>
      </w:r>
      <w:r w:rsidRPr="00EB0264">
        <w:rPr>
          <w:i/>
          <w:iCs/>
        </w:rPr>
        <w:t>Public Interest Disclosure Act</w:t>
      </w:r>
      <w:r w:rsidR="002B4433" w:rsidRPr="00EB0264">
        <w:rPr>
          <w:i/>
          <w:iCs/>
        </w:rPr>
        <w:t xml:space="preserve"> 2008</w:t>
      </w:r>
      <w:r w:rsidRPr="00EB0264">
        <w:rPr>
          <w:i/>
          <w:iCs/>
        </w:rPr>
        <w:t xml:space="preserve"> (NT)</w:t>
      </w:r>
      <w:r w:rsidRPr="00EB0264">
        <w:rPr>
          <w:i/>
          <w:iCs/>
          <w:lang w:eastAsia="en-AU"/>
        </w:rPr>
        <w:t xml:space="preserve"> or the </w:t>
      </w:r>
      <w:r w:rsidRPr="00EB0264">
        <w:rPr>
          <w:i/>
          <w:iCs/>
        </w:rPr>
        <w:t>Independent Commissioner against Corruption Act</w:t>
      </w:r>
      <w:r w:rsidR="009F360A" w:rsidRPr="00EB0264">
        <w:rPr>
          <w:i/>
          <w:iCs/>
        </w:rPr>
        <w:t xml:space="preserve"> 2017</w:t>
      </w:r>
      <w:r w:rsidRPr="00EB0264">
        <w:rPr>
          <w:i/>
          <w:iCs/>
        </w:rPr>
        <w:t xml:space="preserve"> (NT).</w:t>
      </w:r>
    </w:p>
    <w:p w14:paraId="21118B85" w14:textId="77777777" w:rsidR="00A1103A" w:rsidRPr="00EB0264" w:rsidRDefault="00A1103A" w:rsidP="00EB0264">
      <w:pPr>
        <w:spacing w:after="120"/>
      </w:pPr>
      <w:r w:rsidRPr="00EB0264">
        <w:t>The Department reserves the right to conduct an audit of a Participant (including inspecting records of expenditure of funding</w:t>
      </w:r>
      <w:r w:rsidR="00F27AE4" w:rsidRPr="00EB0264">
        <w:t xml:space="preserve"> </w:t>
      </w:r>
      <w:r w:rsidRPr="00EB0264">
        <w:t xml:space="preserve">or attending at a Participant’s place of business to inspect progress through all stages of </w:t>
      </w:r>
      <w:r w:rsidR="006814D7" w:rsidRPr="00EB0264">
        <w:t xml:space="preserve">the </w:t>
      </w:r>
      <w:r w:rsidR="00932BF8">
        <w:t>CENT</w:t>
      </w:r>
      <w:r w:rsidRPr="00EB0264">
        <w:t>)</w:t>
      </w:r>
      <w:r w:rsidRPr="00EB0264" w:rsidDel="008508CC">
        <w:t xml:space="preserve"> </w:t>
      </w:r>
      <w:r w:rsidRPr="00EB0264">
        <w:t>at any time during the period of participation or within 12 months after the conclusion of the Applicant’s participation in</w:t>
      </w:r>
      <w:r w:rsidR="008E17E5" w:rsidRPr="00EB0264">
        <w:t xml:space="preserve"> </w:t>
      </w:r>
      <w:r w:rsidR="006814D7" w:rsidRPr="00EB0264">
        <w:t xml:space="preserve">the </w:t>
      </w:r>
      <w:r w:rsidR="00932BF8">
        <w:t>CENT</w:t>
      </w:r>
      <w:r w:rsidR="00F27AE4" w:rsidRPr="00EB0264">
        <w:t xml:space="preserve"> or </w:t>
      </w:r>
      <w:r w:rsidR="00636B87" w:rsidRPr="00EB0264">
        <w:t>the expiry or termination of a funding agreement, at its discretion.</w:t>
      </w:r>
    </w:p>
    <w:p w14:paraId="39223FAA" w14:textId="77777777" w:rsidR="00A1103A" w:rsidRPr="000338D0" w:rsidRDefault="00A1103A" w:rsidP="000338D0">
      <w:pPr>
        <w:pStyle w:val="Heading1"/>
        <w:rPr>
          <w:lang w:eastAsia="en-AU"/>
        </w:rPr>
      </w:pPr>
      <w:bookmarkStart w:id="20" w:name="_Toc21012593"/>
      <w:bookmarkStart w:id="21" w:name="_Toc21672873"/>
      <w:bookmarkStart w:id="22" w:name="_Toc53833273"/>
      <w:bookmarkStart w:id="23" w:name="_Toc58010235"/>
      <w:bookmarkStart w:id="24" w:name="_Toc146102981"/>
      <w:r w:rsidRPr="000338D0">
        <w:rPr>
          <w:lang w:eastAsia="en-AU"/>
        </w:rPr>
        <w:t>1</w:t>
      </w:r>
      <w:r w:rsidR="003462A0">
        <w:rPr>
          <w:lang w:eastAsia="en-AU"/>
        </w:rPr>
        <w:t>4</w:t>
      </w:r>
      <w:r w:rsidR="000338D0">
        <w:rPr>
          <w:lang w:eastAsia="en-AU"/>
        </w:rPr>
        <w:t>.</w:t>
      </w:r>
      <w:r w:rsidR="000338D0">
        <w:rPr>
          <w:lang w:eastAsia="en-AU"/>
        </w:rPr>
        <w:tab/>
      </w:r>
      <w:r w:rsidR="000338D0">
        <w:rPr>
          <w:lang w:eastAsia="en-AU"/>
        </w:rPr>
        <w:tab/>
      </w:r>
      <w:r w:rsidRPr="000338D0">
        <w:rPr>
          <w:lang w:eastAsia="en-AU"/>
        </w:rPr>
        <w:t>Compliance with Laws</w:t>
      </w:r>
      <w:bookmarkEnd w:id="20"/>
      <w:bookmarkEnd w:id="21"/>
      <w:bookmarkEnd w:id="22"/>
      <w:bookmarkEnd w:id="23"/>
      <w:bookmarkEnd w:id="24"/>
    </w:p>
    <w:p w14:paraId="71F12822" w14:textId="77777777" w:rsidR="00A1103A" w:rsidRPr="00EB0264" w:rsidRDefault="00A1103A" w:rsidP="00EB0264">
      <w:pPr>
        <w:spacing w:after="120"/>
        <w:rPr>
          <w:szCs w:val="24"/>
        </w:rPr>
      </w:pPr>
      <w:r w:rsidRPr="00EB0264">
        <w:rPr>
          <w:szCs w:val="24"/>
          <w:lang w:eastAsia="en-AU"/>
        </w:rPr>
        <w:t xml:space="preserve">By applying to participate and as a continuing obligation throughout any period of participation </w:t>
      </w:r>
      <w:r w:rsidR="007909FA" w:rsidRPr="00EB0264">
        <w:rPr>
          <w:szCs w:val="24"/>
          <w:lang w:eastAsia="en-AU"/>
        </w:rPr>
        <w:t>in the</w:t>
      </w:r>
      <w:r w:rsidR="006814D7" w:rsidRPr="00EB0264">
        <w:rPr>
          <w:szCs w:val="24"/>
          <w:lang w:eastAsia="en-AU"/>
        </w:rPr>
        <w:t xml:space="preserve"> </w:t>
      </w:r>
      <w:r w:rsidR="00932BF8">
        <w:rPr>
          <w:szCs w:val="24"/>
          <w:lang w:eastAsia="en-AU"/>
        </w:rPr>
        <w:t>CENT</w:t>
      </w:r>
      <w:r w:rsidRPr="00EB0264">
        <w:rPr>
          <w:szCs w:val="24"/>
          <w:lang w:eastAsia="en-AU"/>
        </w:rPr>
        <w:t xml:space="preserve">, all Participants must comply with all laws relevant to their participation in </w:t>
      </w:r>
      <w:r w:rsidR="006814D7" w:rsidRPr="00EB0264">
        <w:rPr>
          <w:szCs w:val="24"/>
          <w:lang w:eastAsia="en-AU"/>
        </w:rPr>
        <w:t xml:space="preserve">the </w:t>
      </w:r>
      <w:r w:rsidR="00932BF8">
        <w:rPr>
          <w:szCs w:val="24"/>
          <w:lang w:eastAsia="en-AU"/>
        </w:rPr>
        <w:t>CENT</w:t>
      </w:r>
      <w:r w:rsidR="008E17E5" w:rsidRPr="00EB0264">
        <w:rPr>
          <w:szCs w:val="24"/>
          <w:lang w:eastAsia="en-AU"/>
        </w:rPr>
        <w:t xml:space="preserve"> </w:t>
      </w:r>
      <w:r w:rsidRPr="00EB0264">
        <w:rPr>
          <w:szCs w:val="24"/>
          <w:lang w:eastAsia="en-AU"/>
        </w:rPr>
        <w:t xml:space="preserve">including, without limitation, </w:t>
      </w:r>
      <w:r w:rsidRPr="00EB0264">
        <w:rPr>
          <w:szCs w:val="24"/>
        </w:rPr>
        <w:t xml:space="preserve">the </w:t>
      </w:r>
      <w:r w:rsidRPr="00EB0264">
        <w:rPr>
          <w:i/>
          <w:szCs w:val="24"/>
        </w:rPr>
        <w:t>Independent Commissioner Against Corruption Act 2017</w:t>
      </w:r>
      <w:r w:rsidRPr="00EB0264">
        <w:rPr>
          <w:szCs w:val="24"/>
        </w:rPr>
        <w:t>.</w:t>
      </w:r>
    </w:p>
    <w:p w14:paraId="4B9D9637" w14:textId="77777777" w:rsidR="00A1103A" w:rsidRPr="00EB0264" w:rsidRDefault="00A1103A" w:rsidP="00EB0264">
      <w:pPr>
        <w:spacing w:after="120"/>
        <w:rPr>
          <w:szCs w:val="24"/>
          <w:lang w:eastAsia="en-AU"/>
        </w:rPr>
      </w:pPr>
      <w:r w:rsidRPr="00EB0264">
        <w:rPr>
          <w:szCs w:val="24"/>
          <w:lang w:eastAsia="en-AU"/>
        </w:rPr>
        <w:t>Participants warrant to the Department that they have read, understood and fully accept</w:t>
      </w:r>
      <w:r w:rsidR="008E17E5" w:rsidRPr="00EB0264">
        <w:rPr>
          <w:szCs w:val="24"/>
          <w:lang w:eastAsia="en-AU"/>
        </w:rPr>
        <w:t xml:space="preserve"> </w:t>
      </w:r>
      <w:r w:rsidR="00932BF8">
        <w:rPr>
          <w:szCs w:val="24"/>
          <w:lang w:eastAsia="en-AU"/>
        </w:rPr>
        <w:t>CENT</w:t>
      </w:r>
      <w:r w:rsidRPr="00EB0264">
        <w:rPr>
          <w:szCs w:val="24"/>
          <w:lang w:eastAsia="en-AU"/>
        </w:rPr>
        <w:t xml:space="preserve"> terms and conditions and fully release and indemnify the Department against any loss or damage he / she / it / they may suffer of any nature whatsoever (including without limitation personal injury or death) caused or contributed to by their participation in</w:t>
      </w:r>
      <w:r w:rsidR="008E17E5" w:rsidRPr="00EB0264">
        <w:rPr>
          <w:szCs w:val="24"/>
          <w:lang w:eastAsia="en-AU"/>
        </w:rPr>
        <w:t xml:space="preserve"> </w:t>
      </w:r>
      <w:r w:rsidR="006814D7" w:rsidRPr="00EB0264">
        <w:rPr>
          <w:szCs w:val="24"/>
          <w:lang w:eastAsia="en-AU"/>
        </w:rPr>
        <w:t xml:space="preserve">the </w:t>
      </w:r>
      <w:r w:rsidR="00932BF8">
        <w:rPr>
          <w:szCs w:val="24"/>
          <w:lang w:eastAsia="en-AU"/>
        </w:rPr>
        <w:t>CENT</w:t>
      </w:r>
      <w:r w:rsidRPr="00EB0264">
        <w:rPr>
          <w:szCs w:val="24"/>
          <w:lang w:eastAsia="en-AU"/>
        </w:rPr>
        <w:t>.</w:t>
      </w:r>
    </w:p>
    <w:p w14:paraId="77988B2D" w14:textId="77777777" w:rsidR="00A1103A" w:rsidRPr="000338D0" w:rsidRDefault="00F27AE4" w:rsidP="000338D0">
      <w:pPr>
        <w:pStyle w:val="Heading1"/>
        <w:rPr>
          <w:lang w:eastAsia="en-AU"/>
        </w:rPr>
      </w:pPr>
      <w:bookmarkStart w:id="25" w:name="_Toc53833274"/>
      <w:bookmarkStart w:id="26" w:name="_Toc58010236"/>
      <w:bookmarkStart w:id="27" w:name="_Toc146102982"/>
      <w:bookmarkStart w:id="28" w:name="_Toc21012594"/>
      <w:bookmarkStart w:id="29" w:name="_Toc21672874"/>
      <w:r w:rsidRPr="000338D0">
        <w:rPr>
          <w:lang w:eastAsia="en-AU"/>
        </w:rPr>
        <w:t>1</w:t>
      </w:r>
      <w:r w:rsidR="003462A0">
        <w:rPr>
          <w:lang w:eastAsia="en-AU"/>
        </w:rPr>
        <w:t>5</w:t>
      </w:r>
      <w:r w:rsidRPr="000338D0">
        <w:rPr>
          <w:lang w:eastAsia="en-AU"/>
        </w:rPr>
        <w:t xml:space="preserve">. </w:t>
      </w:r>
      <w:r w:rsidRPr="000338D0">
        <w:rPr>
          <w:lang w:eastAsia="en-AU"/>
        </w:rPr>
        <w:tab/>
      </w:r>
      <w:r w:rsidR="00037ADD">
        <w:rPr>
          <w:lang w:eastAsia="en-AU"/>
        </w:rPr>
        <w:t xml:space="preserve">Program </w:t>
      </w:r>
      <w:r w:rsidR="00A1103A" w:rsidRPr="000338D0">
        <w:rPr>
          <w:lang w:eastAsia="en-AU"/>
        </w:rPr>
        <w:t>duration and changes</w:t>
      </w:r>
      <w:bookmarkEnd w:id="25"/>
      <w:bookmarkEnd w:id="26"/>
      <w:bookmarkEnd w:id="27"/>
      <w:r w:rsidR="00A1103A" w:rsidRPr="000338D0">
        <w:rPr>
          <w:lang w:eastAsia="en-AU"/>
        </w:rPr>
        <w:t xml:space="preserve"> </w:t>
      </w:r>
      <w:bookmarkEnd w:id="28"/>
      <w:bookmarkEnd w:id="29"/>
    </w:p>
    <w:p w14:paraId="32203D54" w14:textId="77777777" w:rsidR="00A1103A" w:rsidRPr="00EB0264" w:rsidRDefault="00A1103A" w:rsidP="00EB0264">
      <w:pPr>
        <w:spacing w:after="120"/>
        <w:rPr>
          <w:szCs w:val="24"/>
          <w:lang w:eastAsia="en-AU"/>
        </w:rPr>
      </w:pPr>
      <w:r w:rsidRPr="00EB0264">
        <w:rPr>
          <w:szCs w:val="24"/>
          <w:lang w:eastAsia="en-AU"/>
        </w:rPr>
        <w:t xml:space="preserve">The </w:t>
      </w:r>
      <w:r w:rsidR="00B30110" w:rsidRPr="00EB0264">
        <w:rPr>
          <w:szCs w:val="24"/>
          <w:lang w:eastAsia="en-AU"/>
        </w:rPr>
        <w:t>program</w:t>
      </w:r>
      <w:r w:rsidRPr="00EB0264">
        <w:rPr>
          <w:szCs w:val="24"/>
          <w:lang w:eastAsia="en-AU"/>
        </w:rPr>
        <w:t xml:space="preserve"> will end when the</w:t>
      </w:r>
      <w:r w:rsidR="00740192">
        <w:rPr>
          <w:szCs w:val="24"/>
          <w:lang w:eastAsia="en-AU"/>
        </w:rPr>
        <w:t xml:space="preserve"> allocated</w:t>
      </w:r>
      <w:r w:rsidRPr="00EB0264">
        <w:rPr>
          <w:szCs w:val="24"/>
          <w:lang w:eastAsia="en-AU"/>
        </w:rPr>
        <w:t xml:space="preserve"> funding is fully committed. Timelines applicable to each </w:t>
      </w:r>
      <w:r w:rsidR="00F27AE4" w:rsidRPr="00EB0264">
        <w:rPr>
          <w:szCs w:val="24"/>
          <w:lang w:eastAsia="en-AU"/>
        </w:rPr>
        <w:t xml:space="preserve">Stage </w:t>
      </w:r>
      <w:r w:rsidRPr="00EB0264">
        <w:rPr>
          <w:szCs w:val="24"/>
          <w:lang w:eastAsia="en-AU"/>
        </w:rPr>
        <w:t xml:space="preserve">will be published. </w:t>
      </w:r>
    </w:p>
    <w:p w14:paraId="19DD7C49" w14:textId="77777777" w:rsidR="00A1103A" w:rsidRPr="00EB0264" w:rsidRDefault="00A1103A" w:rsidP="00EB0264">
      <w:pPr>
        <w:spacing w:after="120"/>
        <w:rPr>
          <w:szCs w:val="24"/>
          <w:lang w:eastAsia="en-AU"/>
        </w:rPr>
      </w:pPr>
      <w:r w:rsidRPr="00EB0264">
        <w:rPr>
          <w:szCs w:val="24"/>
          <w:lang w:eastAsia="en-AU"/>
        </w:rPr>
        <w:t>The Department</w:t>
      </w:r>
      <w:r w:rsidR="008E17E5" w:rsidRPr="00EB0264">
        <w:rPr>
          <w:szCs w:val="24"/>
          <w:lang w:eastAsia="en-AU"/>
        </w:rPr>
        <w:t xml:space="preserve"> </w:t>
      </w:r>
      <w:r w:rsidRPr="00EB0264">
        <w:rPr>
          <w:szCs w:val="24"/>
          <w:lang w:eastAsia="en-AU"/>
        </w:rPr>
        <w:t>reserves the right to:</w:t>
      </w:r>
    </w:p>
    <w:p w14:paraId="60F5BBE8" w14:textId="77777777" w:rsidR="00A1103A" w:rsidRPr="00EB0264" w:rsidRDefault="00A1103A" w:rsidP="00EB0264">
      <w:pPr>
        <w:pStyle w:val="ListParagraph"/>
        <w:numPr>
          <w:ilvl w:val="0"/>
          <w:numId w:val="17"/>
        </w:numPr>
        <w:ind w:hanging="436"/>
        <w:rPr>
          <w:rFonts w:eastAsia="Times New Roman"/>
          <w:szCs w:val="24"/>
          <w:lang w:eastAsia="en-AU"/>
        </w:rPr>
      </w:pPr>
      <w:r w:rsidRPr="00EB0264">
        <w:rPr>
          <w:rFonts w:eastAsia="Times New Roman"/>
          <w:szCs w:val="24"/>
          <w:lang w:eastAsia="en-AU"/>
        </w:rPr>
        <w:t>vary these</w:t>
      </w:r>
      <w:r w:rsidR="008E17E5" w:rsidRPr="00EB0264">
        <w:rPr>
          <w:rFonts w:eastAsia="Times New Roman"/>
          <w:szCs w:val="24"/>
          <w:lang w:eastAsia="en-AU"/>
        </w:rPr>
        <w:t xml:space="preserve"> </w:t>
      </w:r>
      <w:r w:rsidR="00932BF8">
        <w:rPr>
          <w:rFonts w:eastAsia="Times New Roman"/>
          <w:szCs w:val="24"/>
          <w:lang w:eastAsia="en-AU"/>
        </w:rPr>
        <w:t>CENT</w:t>
      </w:r>
      <w:r w:rsidRPr="00EB0264">
        <w:rPr>
          <w:rFonts w:eastAsia="Times New Roman"/>
          <w:szCs w:val="24"/>
          <w:lang w:eastAsia="en-AU"/>
        </w:rPr>
        <w:t xml:space="preserve"> Terms and Conditions, the eligibility requirements or any other documented rule, procedure or information relating to </w:t>
      </w:r>
      <w:r w:rsidR="008E17E5" w:rsidRPr="00EB0264">
        <w:rPr>
          <w:rFonts w:eastAsia="Times New Roman"/>
          <w:szCs w:val="24"/>
          <w:lang w:eastAsia="en-AU"/>
        </w:rPr>
        <w:t xml:space="preserve"> </w:t>
      </w:r>
      <w:r w:rsidR="006814D7" w:rsidRPr="00EB0264">
        <w:rPr>
          <w:rFonts w:eastAsia="Times New Roman"/>
          <w:szCs w:val="24"/>
          <w:lang w:eastAsia="en-AU"/>
        </w:rPr>
        <w:t xml:space="preserve">the </w:t>
      </w:r>
      <w:r w:rsidR="00932BF8">
        <w:rPr>
          <w:rFonts w:eastAsia="Times New Roman"/>
          <w:szCs w:val="24"/>
          <w:lang w:eastAsia="en-AU"/>
        </w:rPr>
        <w:t>CENT</w:t>
      </w:r>
      <w:r w:rsidRPr="00EB0264">
        <w:rPr>
          <w:rFonts w:eastAsia="Times New Roman"/>
          <w:szCs w:val="24"/>
          <w:lang w:eastAsia="en-AU"/>
        </w:rPr>
        <w:t xml:space="preserve"> at any time without notice, whether retrospectively or otherwise;</w:t>
      </w:r>
    </w:p>
    <w:p w14:paraId="4E36A6BF" w14:textId="77777777" w:rsidR="00A1103A" w:rsidRPr="00EB0264" w:rsidRDefault="00A1103A" w:rsidP="00EB0264">
      <w:pPr>
        <w:pStyle w:val="ListParagraph"/>
        <w:numPr>
          <w:ilvl w:val="0"/>
          <w:numId w:val="17"/>
        </w:numPr>
        <w:ind w:hanging="436"/>
        <w:rPr>
          <w:rFonts w:eastAsia="Times New Roman"/>
          <w:szCs w:val="24"/>
          <w:lang w:eastAsia="en-AU"/>
        </w:rPr>
      </w:pPr>
      <w:r w:rsidRPr="00EB0264">
        <w:rPr>
          <w:rFonts w:eastAsia="Times New Roman"/>
          <w:szCs w:val="24"/>
          <w:lang w:eastAsia="en-AU"/>
        </w:rPr>
        <w:t xml:space="preserve">accept or reject any application for participation in any stage of </w:t>
      </w:r>
      <w:r w:rsidR="006814D7" w:rsidRPr="00EB0264">
        <w:rPr>
          <w:rFonts w:eastAsia="Times New Roman"/>
          <w:szCs w:val="24"/>
          <w:lang w:eastAsia="en-AU"/>
        </w:rPr>
        <w:t xml:space="preserve">the </w:t>
      </w:r>
      <w:r w:rsidR="00932BF8">
        <w:rPr>
          <w:rFonts w:eastAsia="Times New Roman"/>
          <w:szCs w:val="24"/>
          <w:lang w:eastAsia="en-AU"/>
        </w:rPr>
        <w:t>CENT</w:t>
      </w:r>
      <w:r w:rsidR="008E17E5" w:rsidRPr="00EB0264">
        <w:rPr>
          <w:rFonts w:eastAsia="Times New Roman"/>
          <w:szCs w:val="24"/>
          <w:lang w:eastAsia="en-AU"/>
        </w:rPr>
        <w:t xml:space="preserve"> </w:t>
      </w:r>
      <w:r w:rsidRPr="00EB0264">
        <w:rPr>
          <w:rFonts w:eastAsia="Times New Roman"/>
          <w:szCs w:val="24"/>
          <w:lang w:eastAsia="en-AU"/>
        </w:rPr>
        <w:t>in its absolute discretion;</w:t>
      </w:r>
    </w:p>
    <w:p w14:paraId="21A7C3B5" w14:textId="77777777" w:rsidR="009C3563" w:rsidRPr="00EB0264" w:rsidRDefault="00A1103A" w:rsidP="00EB0264">
      <w:pPr>
        <w:pStyle w:val="ListParagraph"/>
        <w:numPr>
          <w:ilvl w:val="0"/>
          <w:numId w:val="17"/>
        </w:numPr>
        <w:ind w:hanging="436"/>
        <w:rPr>
          <w:sz w:val="24"/>
          <w:szCs w:val="27"/>
        </w:rPr>
      </w:pPr>
      <w:r w:rsidRPr="00EB0264">
        <w:rPr>
          <w:rFonts w:eastAsia="Times New Roman"/>
          <w:iCs w:val="0"/>
          <w:szCs w:val="24"/>
          <w:lang w:eastAsia="en-AU"/>
        </w:rPr>
        <w:t>cease</w:t>
      </w:r>
      <w:r w:rsidR="008E17E5" w:rsidRPr="00EB0264">
        <w:rPr>
          <w:rFonts w:eastAsia="Times New Roman"/>
          <w:iCs w:val="0"/>
          <w:szCs w:val="24"/>
          <w:lang w:eastAsia="en-AU"/>
        </w:rPr>
        <w:t xml:space="preserve"> </w:t>
      </w:r>
      <w:r w:rsidR="006814D7" w:rsidRPr="00EB0264">
        <w:rPr>
          <w:rFonts w:eastAsia="Times New Roman"/>
          <w:iCs w:val="0"/>
          <w:szCs w:val="24"/>
          <w:lang w:eastAsia="en-AU"/>
        </w:rPr>
        <w:t xml:space="preserve">the </w:t>
      </w:r>
      <w:r w:rsidR="00932BF8">
        <w:rPr>
          <w:rFonts w:eastAsia="Times New Roman"/>
          <w:iCs w:val="0"/>
          <w:szCs w:val="24"/>
          <w:lang w:eastAsia="en-AU"/>
        </w:rPr>
        <w:t>CENT</w:t>
      </w:r>
      <w:r w:rsidR="008E17E5" w:rsidRPr="00EB0264">
        <w:rPr>
          <w:rFonts w:eastAsia="Times New Roman"/>
          <w:iCs w:val="0"/>
          <w:szCs w:val="24"/>
          <w:lang w:eastAsia="en-AU"/>
        </w:rPr>
        <w:t xml:space="preserve"> </w:t>
      </w:r>
      <w:r w:rsidRPr="00EB0264">
        <w:rPr>
          <w:rFonts w:eastAsia="Times New Roman"/>
          <w:iCs w:val="0"/>
          <w:szCs w:val="24"/>
          <w:lang w:eastAsia="en-AU"/>
        </w:rPr>
        <w:t>at any time should Territory Government policy change or the budget allocation for</w:t>
      </w:r>
      <w:r w:rsidR="008E17E5" w:rsidRPr="00EB0264">
        <w:rPr>
          <w:rFonts w:eastAsia="Times New Roman"/>
          <w:iCs w:val="0"/>
          <w:szCs w:val="24"/>
          <w:lang w:eastAsia="en-AU"/>
        </w:rPr>
        <w:t xml:space="preserve"> </w:t>
      </w:r>
      <w:r w:rsidR="006814D7" w:rsidRPr="00EB0264">
        <w:rPr>
          <w:rFonts w:eastAsia="Times New Roman"/>
          <w:iCs w:val="0"/>
          <w:szCs w:val="24"/>
          <w:lang w:eastAsia="en-AU"/>
        </w:rPr>
        <w:t xml:space="preserve">the </w:t>
      </w:r>
      <w:r w:rsidR="00932BF8">
        <w:rPr>
          <w:rFonts w:eastAsia="Times New Roman"/>
          <w:iCs w:val="0"/>
          <w:szCs w:val="24"/>
          <w:lang w:eastAsia="en-AU"/>
        </w:rPr>
        <w:t>CENT</w:t>
      </w:r>
      <w:r w:rsidRPr="00EB0264">
        <w:rPr>
          <w:rFonts w:eastAsia="Times New Roman"/>
          <w:iCs w:val="0"/>
          <w:szCs w:val="24"/>
          <w:lang w:eastAsia="en-AU"/>
        </w:rPr>
        <w:t xml:space="preserve"> be re</w:t>
      </w:r>
      <w:r w:rsidRPr="00EB0264">
        <w:rPr>
          <w:rFonts w:eastAsia="Times New Roman"/>
          <w:iCs w:val="0"/>
          <w:szCs w:val="24"/>
          <w:lang w:eastAsia="en-AU"/>
        </w:rPr>
        <w:noBreakHyphen/>
        <w:t>prioritised or reduced.</w:t>
      </w:r>
    </w:p>
    <w:sectPr w:rsidR="009C3563" w:rsidRPr="00EB0264" w:rsidSect="00CC571B">
      <w:headerReference w:type="default" r:id="rId14"/>
      <w:footerReference w:type="default" r:id="rId15"/>
      <w:footerReference w:type="first" r:id="rId16"/>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64E12" w14:textId="77777777" w:rsidR="00872BD6" w:rsidRDefault="00872BD6" w:rsidP="007332FF">
      <w:r>
        <w:separator/>
      </w:r>
    </w:p>
  </w:endnote>
  <w:endnote w:type="continuationSeparator" w:id="0">
    <w:p w14:paraId="463771CE" w14:textId="77777777" w:rsidR="00872BD6" w:rsidRDefault="00872BD6" w:rsidP="007332FF">
      <w:r>
        <w:continuationSeparator/>
      </w:r>
    </w:p>
  </w:endnote>
  <w:endnote w:type="continuationNotice" w:id="1">
    <w:p w14:paraId="58A8F45C" w14:textId="77777777" w:rsidR="00872BD6" w:rsidRDefault="00872BD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295D" w14:textId="77777777" w:rsidR="00F240F0" w:rsidRDefault="00F240F0" w:rsidP="00996655">
    <w:pPr>
      <w:spacing w:after="0"/>
    </w:pPr>
  </w:p>
  <w:tbl>
    <w:tblPr>
      <w:tblW w:w="1032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28"/>
    </w:tblGrid>
    <w:tr w:rsidR="00F240F0" w:rsidRPr="00132658" w14:paraId="718457A5" w14:textId="77777777" w:rsidTr="002D71F6">
      <w:trPr>
        <w:cantSplit/>
        <w:trHeight w:hRule="exact" w:val="769"/>
      </w:trPr>
      <w:tc>
        <w:tcPr>
          <w:tcW w:w="10328" w:type="dxa"/>
          <w:vAlign w:val="bottom"/>
        </w:tcPr>
        <w:p w14:paraId="1EDED570" w14:textId="77777777" w:rsidR="00F240F0" w:rsidRDefault="00F240F0" w:rsidP="002D71F6">
          <w:pPr>
            <w:spacing w:after="0"/>
            <w:rPr>
              <w:rStyle w:val="PageNumber"/>
              <w:b/>
            </w:rPr>
          </w:pPr>
          <w:r>
            <w:rPr>
              <w:rStyle w:val="PageNumber"/>
            </w:rPr>
            <w:t xml:space="preserve">Department of </w:t>
          </w:r>
          <w:r>
            <w:rPr>
              <w:rStyle w:val="PageNumber"/>
              <w:b/>
            </w:rPr>
            <w:t>Industry, Tourism and Trade</w:t>
          </w:r>
        </w:p>
        <w:p w14:paraId="65AEFEE1" w14:textId="7168BD52" w:rsidR="00F240F0" w:rsidRPr="00CE6614" w:rsidRDefault="00000000" w:rsidP="002D71F6">
          <w:pPr>
            <w:spacing w:after="0"/>
            <w:rPr>
              <w:rStyle w:val="PageNumber"/>
            </w:rPr>
          </w:pPr>
          <w:sdt>
            <w:sdtPr>
              <w:rPr>
                <w:rStyle w:val="PageNumber"/>
              </w:rPr>
              <w:alias w:val="Date"/>
              <w:tag w:val=""/>
              <w:id w:val="-468523558"/>
              <w:dataBinding w:prefixMappings="xmlns:ns0='http://schemas.microsoft.com/office/2006/coverPageProps' " w:xpath="/ns0:CoverPageProperties[1]/ns0:PublishDate[1]" w:storeItemID="{55AF091B-3C7A-41E3-B477-F2FDAA23CFDA}"/>
              <w15:color w:val="000000"/>
              <w:date w:fullDate="2023-10-02T00:00:00Z">
                <w:dateFormat w:val="d MMMM yyyy"/>
                <w:lid w:val="en-AU"/>
                <w:storeMappedDataAs w:val="dateTime"/>
                <w:calendar w:val="gregorian"/>
              </w:date>
            </w:sdtPr>
            <w:sdtContent>
              <w:r w:rsidR="009520E1">
                <w:rPr>
                  <w:rStyle w:val="PageNumber"/>
                </w:rPr>
                <w:t>2 October 2023</w:t>
              </w:r>
            </w:sdtContent>
          </w:sdt>
        </w:p>
        <w:p w14:paraId="0574EBBD" w14:textId="08143928" w:rsidR="00F240F0" w:rsidRPr="00AC4488" w:rsidRDefault="00F240F0" w:rsidP="002D71F6">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70E35">
            <w:rPr>
              <w:rStyle w:val="PageNumber"/>
              <w:noProof/>
            </w:rPr>
            <w:t>13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70E35">
            <w:rPr>
              <w:rStyle w:val="PageNumber"/>
              <w:noProof/>
            </w:rPr>
            <w:t>13</w:t>
          </w:r>
          <w:r w:rsidRPr="00AC4488">
            <w:rPr>
              <w:rStyle w:val="PageNumber"/>
            </w:rPr>
            <w:fldChar w:fldCharType="end"/>
          </w:r>
        </w:p>
      </w:tc>
    </w:tr>
  </w:tbl>
  <w:p w14:paraId="7D2358A9" w14:textId="77777777" w:rsidR="00F240F0" w:rsidRPr="00996655" w:rsidRDefault="00F240F0" w:rsidP="00996655">
    <w:pPr>
      <w:pStyle w:val="Hidd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E89B" w14:textId="77777777" w:rsidR="00F240F0" w:rsidRDefault="00F240F0" w:rsidP="00C0326E">
    <w:pPr>
      <w:spacing w:after="0"/>
    </w:pPr>
  </w:p>
  <w:p w14:paraId="43743A81" w14:textId="77777777" w:rsidR="00F240F0" w:rsidRDefault="00F240F0" w:rsidP="00996655">
    <w:pPr>
      <w:pStyle w:val="Hidden"/>
    </w:pPr>
  </w:p>
  <w:tbl>
    <w:tblPr>
      <w:tblW w:w="10318" w:type="dxa"/>
      <w:jc w:val="center"/>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F240F0" w:rsidRPr="002D71F6" w14:paraId="01EA0D4E" w14:textId="77777777" w:rsidTr="002E5B7C">
      <w:trPr>
        <w:cantSplit/>
        <w:trHeight w:hRule="exact" w:val="1134"/>
        <w:jc w:val="center"/>
      </w:trPr>
      <w:tc>
        <w:tcPr>
          <w:tcW w:w="7767" w:type="dxa"/>
          <w:vAlign w:val="bottom"/>
        </w:tcPr>
        <w:p w14:paraId="5CF5498B" w14:textId="77777777" w:rsidR="00F240F0" w:rsidRPr="002D71F6" w:rsidRDefault="00F240F0" w:rsidP="002D71F6">
          <w:pPr>
            <w:spacing w:after="0"/>
            <w:rPr>
              <w:rStyle w:val="PageNumber"/>
            </w:rPr>
          </w:pPr>
        </w:p>
      </w:tc>
      <w:tc>
        <w:tcPr>
          <w:tcW w:w="2551" w:type="dxa"/>
          <w:vAlign w:val="bottom"/>
        </w:tcPr>
        <w:p w14:paraId="49133BCD" w14:textId="77777777" w:rsidR="00F240F0" w:rsidRPr="002D71F6" w:rsidRDefault="00F240F0" w:rsidP="00C0326E">
          <w:pPr>
            <w:spacing w:after="0"/>
            <w:jc w:val="right"/>
          </w:pPr>
          <w:r w:rsidRPr="002D71F6">
            <w:rPr>
              <w:noProof/>
              <w:lang w:eastAsia="en-AU"/>
            </w:rPr>
            <w:drawing>
              <wp:anchor distT="0" distB="0" distL="114300" distR="114300" simplePos="0" relativeHeight="251658752" behindDoc="1" locked="0" layoutInCell="1" allowOverlap="1" wp14:anchorId="50DF485F" wp14:editId="20E84848">
                <wp:simplePos x="0" y="0"/>
                <wp:positionH relativeFrom="column">
                  <wp:posOffset>374015</wp:posOffset>
                </wp:positionH>
                <wp:positionV relativeFrom="paragraph">
                  <wp:posOffset>107950</wp:posOffset>
                </wp:positionV>
                <wp:extent cx="1245600" cy="446400"/>
                <wp:effectExtent l="0" t="0" r="0" b="0"/>
                <wp:wrapNone/>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45600" cy="44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71F6">
            <w:rPr>
              <w:rStyle w:val="PageNumber"/>
              <w:noProof/>
              <w:lang w:eastAsia="en-AU"/>
            </w:rPr>
            <w:t xml:space="preserve"> </w:t>
          </w:r>
        </w:p>
      </w:tc>
    </w:tr>
  </w:tbl>
  <w:p w14:paraId="0B0D170C" w14:textId="77777777" w:rsidR="00F240F0" w:rsidRPr="00661BE1" w:rsidRDefault="00F240F0"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4BACC" w14:textId="77777777" w:rsidR="00872BD6" w:rsidRDefault="00872BD6" w:rsidP="007332FF">
      <w:r>
        <w:separator/>
      </w:r>
    </w:p>
  </w:footnote>
  <w:footnote w:type="continuationSeparator" w:id="0">
    <w:p w14:paraId="20C5CAD4" w14:textId="77777777" w:rsidR="00872BD6" w:rsidRDefault="00872BD6" w:rsidP="007332FF">
      <w:r>
        <w:continuationSeparator/>
      </w:r>
    </w:p>
  </w:footnote>
  <w:footnote w:type="continuationNotice" w:id="1">
    <w:p w14:paraId="0D2E524F" w14:textId="77777777" w:rsidR="00872BD6" w:rsidRDefault="00872BD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16EA" w14:textId="73EDA21B" w:rsidR="00F240F0" w:rsidRPr="00162207" w:rsidRDefault="00000000" w:rsidP="00996655">
    <w:pPr>
      <w:pStyle w:val="Header"/>
      <w:tabs>
        <w:tab w:val="clear" w:pos="9638"/>
        <w:tab w:val="right" w:pos="10318"/>
      </w:tabs>
      <w:jc w:val="right"/>
    </w:pPr>
    <w:sdt>
      <w:sdtPr>
        <w:alias w:val="Title"/>
        <w:tag w:val="Title"/>
        <w:id w:val="-1014609639"/>
        <w:lock w:val="sdtLocked"/>
        <w:showingPlcHdr/>
        <w:dataBinding w:prefixMappings="xmlns:ns0='http://purl.org/dc/elements/1.1/' xmlns:ns1='http://schemas.openxmlformats.org/package/2006/metadata/core-properties' " w:xpath="/ns1:coreProperties[1]/ns0:title[1]" w:storeItemID="{6C3C8BC8-F283-45AE-878A-BAB7291924A1}"/>
        <w:text/>
      </w:sdtPr>
      <w:sdtContent>
        <w:r w:rsidR="00F2532F">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8D5"/>
    <w:multiLevelType w:val="hybridMultilevel"/>
    <w:tmpl w:val="BE288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0F88786D"/>
    <w:multiLevelType w:val="hybridMultilevel"/>
    <w:tmpl w:val="51A48804"/>
    <w:lvl w:ilvl="0" w:tplc="7F7673FC">
      <w:start w:val="1"/>
      <w:numFmt w:val="lowerLetter"/>
      <w:lvlText w:val="(%1)"/>
      <w:lvlJc w:val="left"/>
      <w:pPr>
        <w:ind w:left="1287" w:hanging="360"/>
      </w:pPr>
      <w:rPr>
        <w:rFonts w:hint="default"/>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0FA72A73"/>
    <w:multiLevelType w:val="hybridMultilevel"/>
    <w:tmpl w:val="79F63A48"/>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0FA7C01"/>
    <w:multiLevelType w:val="hybridMultilevel"/>
    <w:tmpl w:val="96B87B4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3B3A0C"/>
    <w:multiLevelType w:val="hybridMultilevel"/>
    <w:tmpl w:val="101C3D94"/>
    <w:lvl w:ilvl="0" w:tplc="CA8E6428">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B26429D"/>
    <w:multiLevelType w:val="multilevel"/>
    <w:tmpl w:val="3E5E177A"/>
    <w:name w:val="NTG Table Bullet List33222222222"/>
    <w:numStyleLink w:val="Tablenumberlist"/>
  </w:abstractNum>
  <w:abstractNum w:abstractNumId="14" w15:restartNumberingAfterBreak="0">
    <w:nsid w:val="1B86276C"/>
    <w:multiLevelType w:val="multilevel"/>
    <w:tmpl w:val="3928FD02"/>
    <w:name w:val="NTG Table Bullet List32223"/>
    <w:numStyleLink w:val="Bulletlist"/>
  </w:abstractNum>
  <w:abstractNum w:abstractNumId="15" w15:restartNumberingAfterBreak="0">
    <w:nsid w:val="1C3A0C82"/>
    <w:multiLevelType w:val="hybridMultilevel"/>
    <w:tmpl w:val="F1C82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0744AE"/>
    <w:multiLevelType w:val="multilevel"/>
    <w:tmpl w:val="3E5E177A"/>
    <w:name w:val="NTG Table Bullet List3222322"/>
    <w:numStyleLink w:val="Tablenumberlist"/>
  </w:abstractNum>
  <w:abstractNum w:abstractNumId="17" w15:restartNumberingAfterBreak="0">
    <w:nsid w:val="1DFD27C2"/>
    <w:multiLevelType w:val="hybridMultilevel"/>
    <w:tmpl w:val="2EC6C26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1E5C5928"/>
    <w:multiLevelType w:val="hybridMultilevel"/>
    <w:tmpl w:val="5EA44A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01159B3"/>
    <w:multiLevelType w:val="hybridMultilevel"/>
    <w:tmpl w:val="693A6DF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1" w15:restartNumberingAfterBreak="0">
    <w:nsid w:val="26B5266C"/>
    <w:multiLevelType w:val="hybridMultilevel"/>
    <w:tmpl w:val="177AE482"/>
    <w:lvl w:ilvl="0" w:tplc="EDF094A4">
      <w:start w:val="1"/>
      <w:numFmt w:val="decimal"/>
      <w:lvlText w:val="%1."/>
      <w:lvlJc w:val="left"/>
      <w:pPr>
        <w:ind w:left="927" w:hanging="360"/>
      </w:pPr>
      <w:rPr>
        <w:rFonts w:ascii="Arial" w:eastAsia="Times New Roman" w:hAnsi="Arial" w:cs="Times New Roman"/>
      </w:r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7C6399"/>
    <w:multiLevelType w:val="hybridMultilevel"/>
    <w:tmpl w:val="E6C82216"/>
    <w:lvl w:ilvl="0" w:tplc="0930CE40">
      <w:start w:val="1"/>
      <w:numFmt w:val="bullet"/>
      <w:pStyle w:val="ListBulletInden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294C0BE1"/>
    <w:multiLevelType w:val="hybridMultilevel"/>
    <w:tmpl w:val="D44AA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694A00"/>
    <w:multiLevelType w:val="hybridMultilevel"/>
    <w:tmpl w:val="4EE4D6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0631182"/>
    <w:multiLevelType w:val="hybridMultilevel"/>
    <w:tmpl w:val="95E86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48924BA"/>
    <w:multiLevelType w:val="hybridMultilevel"/>
    <w:tmpl w:val="0FEAD51C"/>
    <w:lvl w:ilvl="0" w:tplc="4866F41A">
      <w:start w:val="1"/>
      <w:numFmt w:val="lowerLetter"/>
      <w:lvlText w:val="(%1)"/>
      <w:lvlJc w:val="left"/>
      <w:pPr>
        <w:ind w:left="1499" w:hanging="360"/>
      </w:pPr>
      <w:rPr>
        <w:rFonts w:hint="default"/>
      </w:rPr>
    </w:lvl>
    <w:lvl w:ilvl="1" w:tplc="0C090019" w:tentative="1">
      <w:start w:val="1"/>
      <w:numFmt w:val="lowerLetter"/>
      <w:lvlText w:val="%2."/>
      <w:lvlJc w:val="left"/>
      <w:pPr>
        <w:ind w:left="2219" w:hanging="360"/>
      </w:pPr>
    </w:lvl>
    <w:lvl w:ilvl="2" w:tplc="0C09001B" w:tentative="1">
      <w:start w:val="1"/>
      <w:numFmt w:val="lowerRoman"/>
      <w:lvlText w:val="%3."/>
      <w:lvlJc w:val="right"/>
      <w:pPr>
        <w:ind w:left="2939" w:hanging="180"/>
      </w:pPr>
    </w:lvl>
    <w:lvl w:ilvl="3" w:tplc="0C09000F" w:tentative="1">
      <w:start w:val="1"/>
      <w:numFmt w:val="decimal"/>
      <w:lvlText w:val="%4."/>
      <w:lvlJc w:val="left"/>
      <w:pPr>
        <w:ind w:left="3659" w:hanging="360"/>
      </w:pPr>
    </w:lvl>
    <w:lvl w:ilvl="4" w:tplc="0C090019" w:tentative="1">
      <w:start w:val="1"/>
      <w:numFmt w:val="lowerLetter"/>
      <w:lvlText w:val="%5."/>
      <w:lvlJc w:val="left"/>
      <w:pPr>
        <w:ind w:left="4379" w:hanging="360"/>
      </w:pPr>
    </w:lvl>
    <w:lvl w:ilvl="5" w:tplc="0C09001B" w:tentative="1">
      <w:start w:val="1"/>
      <w:numFmt w:val="lowerRoman"/>
      <w:lvlText w:val="%6."/>
      <w:lvlJc w:val="right"/>
      <w:pPr>
        <w:ind w:left="5099" w:hanging="180"/>
      </w:pPr>
    </w:lvl>
    <w:lvl w:ilvl="6" w:tplc="0C09000F" w:tentative="1">
      <w:start w:val="1"/>
      <w:numFmt w:val="decimal"/>
      <w:lvlText w:val="%7."/>
      <w:lvlJc w:val="left"/>
      <w:pPr>
        <w:ind w:left="5819" w:hanging="360"/>
      </w:pPr>
    </w:lvl>
    <w:lvl w:ilvl="7" w:tplc="0C090019" w:tentative="1">
      <w:start w:val="1"/>
      <w:numFmt w:val="lowerLetter"/>
      <w:lvlText w:val="%8."/>
      <w:lvlJc w:val="left"/>
      <w:pPr>
        <w:ind w:left="6539" w:hanging="360"/>
      </w:pPr>
    </w:lvl>
    <w:lvl w:ilvl="8" w:tplc="0C09001B" w:tentative="1">
      <w:start w:val="1"/>
      <w:numFmt w:val="lowerRoman"/>
      <w:lvlText w:val="%9."/>
      <w:lvlJc w:val="right"/>
      <w:pPr>
        <w:ind w:left="7259" w:hanging="180"/>
      </w:pPr>
    </w:lvl>
  </w:abstractNum>
  <w:abstractNum w:abstractNumId="3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5" w15:restartNumberingAfterBreak="0">
    <w:nsid w:val="3BCA7FF4"/>
    <w:multiLevelType w:val="hybridMultilevel"/>
    <w:tmpl w:val="101C3D94"/>
    <w:lvl w:ilvl="0" w:tplc="CA8E6428">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6" w15:restartNumberingAfterBreak="0">
    <w:nsid w:val="3BE61945"/>
    <w:multiLevelType w:val="multilevel"/>
    <w:tmpl w:val="3928FD02"/>
    <w:name w:val="NTG Table Bullet List332222222222222222"/>
    <w:numStyleLink w:val="Bulletlist"/>
  </w:abstractNum>
  <w:abstractNum w:abstractNumId="37" w15:restartNumberingAfterBreak="0">
    <w:nsid w:val="3CFC535E"/>
    <w:multiLevelType w:val="hybridMultilevel"/>
    <w:tmpl w:val="0422E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E8C3A2C"/>
    <w:multiLevelType w:val="hybridMultilevel"/>
    <w:tmpl w:val="EA429BAC"/>
    <w:lvl w:ilvl="0" w:tplc="0C090011">
      <w:start w:val="1"/>
      <w:numFmt w:val="decimal"/>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9" w15:restartNumberingAfterBreak="0">
    <w:nsid w:val="412A1D4C"/>
    <w:multiLevelType w:val="hybridMultilevel"/>
    <w:tmpl w:val="4D10C62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3CC2F69"/>
    <w:multiLevelType w:val="hybridMultilevel"/>
    <w:tmpl w:val="F6641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5A213D7"/>
    <w:multiLevelType w:val="hybridMultilevel"/>
    <w:tmpl w:val="8AAEDFB2"/>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C976F1A"/>
    <w:multiLevelType w:val="hybridMultilevel"/>
    <w:tmpl w:val="49E07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4E32296A"/>
    <w:multiLevelType w:val="hybridMultilevel"/>
    <w:tmpl w:val="A5368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EEB56BE"/>
    <w:multiLevelType w:val="hybridMultilevel"/>
    <w:tmpl w:val="12220196"/>
    <w:lvl w:ilvl="0" w:tplc="0C090001">
      <w:start w:val="1"/>
      <w:numFmt w:val="bullet"/>
      <w:lvlText w:val=""/>
      <w:lvlJc w:val="left"/>
      <w:pPr>
        <w:tabs>
          <w:tab w:val="num" w:pos="720"/>
        </w:tabs>
        <w:ind w:left="720" w:hanging="360"/>
      </w:pPr>
      <w:rPr>
        <w:rFonts w:ascii="Symbol" w:hAnsi="Symbol" w:hint="default"/>
      </w:rPr>
    </w:lvl>
    <w:lvl w:ilvl="1" w:tplc="35FA116E" w:tentative="1">
      <w:start w:val="1"/>
      <w:numFmt w:val="bullet"/>
      <w:lvlText w:val="•"/>
      <w:lvlJc w:val="left"/>
      <w:pPr>
        <w:tabs>
          <w:tab w:val="num" w:pos="1440"/>
        </w:tabs>
        <w:ind w:left="1440" w:hanging="360"/>
      </w:pPr>
      <w:rPr>
        <w:rFonts w:ascii="Arial" w:hAnsi="Arial" w:hint="default"/>
      </w:rPr>
    </w:lvl>
    <w:lvl w:ilvl="2" w:tplc="082E2296" w:tentative="1">
      <w:start w:val="1"/>
      <w:numFmt w:val="bullet"/>
      <w:lvlText w:val="•"/>
      <w:lvlJc w:val="left"/>
      <w:pPr>
        <w:tabs>
          <w:tab w:val="num" w:pos="2160"/>
        </w:tabs>
        <w:ind w:left="2160" w:hanging="360"/>
      </w:pPr>
      <w:rPr>
        <w:rFonts w:ascii="Arial" w:hAnsi="Arial" w:hint="default"/>
      </w:rPr>
    </w:lvl>
    <w:lvl w:ilvl="3" w:tplc="2FC8571C" w:tentative="1">
      <w:start w:val="1"/>
      <w:numFmt w:val="bullet"/>
      <w:lvlText w:val="•"/>
      <w:lvlJc w:val="left"/>
      <w:pPr>
        <w:tabs>
          <w:tab w:val="num" w:pos="2880"/>
        </w:tabs>
        <w:ind w:left="2880" w:hanging="360"/>
      </w:pPr>
      <w:rPr>
        <w:rFonts w:ascii="Arial" w:hAnsi="Arial" w:hint="default"/>
      </w:rPr>
    </w:lvl>
    <w:lvl w:ilvl="4" w:tplc="34BEA4C0" w:tentative="1">
      <w:start w:val="1"/>
      <w:numFmt w:val="bullet"/>
      <w:lvlText w:val="•"/>
      <w:lvlJc w:val="left"/>
      <w:pPr>
        <w:tabs>
          <w:tab w:val="num" w:pos="3600"/>
        </w:tabs>
        <w:ind w:left="3600" w:hanging="360"/>
      </w:pPr>
      <w:rPr>
        <w:rFonts w:ascii="Arial" w:hAnsi="Arial" w:hint="default"/>
      </w:rPr>
    </w:lvl>
    <w:lvl w:ilvl="5" w:tplc="ECFACC74" w:tentative="1">
      <w:start w:val="1"/>
      <w:numFmt w:val="bullet"/>
      <w:lvlText w:val="•"/>
      <w:lvlJc w:val="left"/>
      <w:pPr>
        <w:tabs>
          <w:tab w:val="num" w:pos="4320"/>
        </w:tabs>
        <w:ind w:left="4320" w:hanging="360"/>
      </w:pPr>
      <w:rPr>
        <w:rFonts w:ascii="Arial" w:hAnsi="Arial" w:hint="default"/>
      </w:rPr>
    </w:lvl>
    <w:lvl w:ilvl="6" w:tplc="14E03C16" w:tentative="1">
      <w:start w:val="1"/>
      <w:numFmt w:val="bullet"/>
      <w:lvlText w:val="•"/>
      <w:lvlJc w:val="left"/>
      <w:pPr>
        <w:tabs>
          <w:tab w:val="num" w:pos="5040"/>
        </w:tabs>
        <w:ind w:left="5040" w:hanging="360"/>
      </w:pPr>
      <w:rPr>
        <w:rFonts w:ascii="Arial" w:hAnsi="Arial" w:hint="default"/>
      </w:rPr>
    </w:lvl>
    <w:lvl w:ilvl="7" w:tplc="A8DCAD2A" w:tentative="1">
      <w:start w:val="1"/>
      <w:numFmt w:val="bullet"/>
      <w:lvlText w:val="•"/>
      <w:lvlJc w:val="left"/>
      <w:pPr>
        <w:tabs>
          <w:tab w:val="num" w:pos="5760"/>
        </w:tabs>
        <w:ind w:left="5760" w:hanging="360"/>
      </w:pPr>
      <w:rPr>
        <w:rFonts w:ascii="Arial" w:hAnsi="Arial" w:hint="default"/>
      </w:rPr>
    </w:lvl>
    <w:lvl w:ilvl="8" w:tplc="D2BAC75A"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524607AB"/>
    <w:multiLevelType w:val="hybridMultilevel"/>
    <w:tmpl w:val="CF3E0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2A12797"/>
    <w:multiLevelType w:val="hybridMultilevel"/>
    <w:tmpl w:val="14FC6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3842BC6"/>
    <w:multiLevelType w:val="multilevel"/>
    <w:tmpl w:val="0C78A7AC"/>
    <w:numStyleLink w:val="Tablebulletlist"/>
  </w:abstractNum>
  <w:abstractNum w:abstractNumId="5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2" w15:restartNumberingAfterBreak="0">
    <w:nsid w:val="56DA2CAE"/>
    <w:multiLevelType w:val="multilevel"/>
    <w:tmpl w:val="3E5E177A"/>
    <w:name w:val="NTG Table Bullet List332222222222222"/>
    <w:numStyleLink w:val="Tablenumberlist"/>
  </w:abstractNum>
  <w:abstractNum w:abstractNumId="53" w15:restartNumberingAfterBreak="0">
    <w:nsid w:val="583359D9"/>
    <w:multiLevelType w:val="multilevel"/>
    <w:tmpl w:val="3E5E177A"/>
    <w:name w:val="NTG Table Bullet List332222222"/>
    <w:numStyleLink w:val="Tablenumberlist"/>
  </w:abstractNum>
  <w:abstractNum w:abstractNumId="54" w15:restartNumberingAfterBreak="0">
    <w:nsid w:val="58AC160B"/>
    <w:multiLevelType w:val="hybridMultilevel"/>
    <w:tmpl w:val="D3B41F50"/>
    <w:lvl w:ilvl="0" w:tplc="AD04EBCC">
      <w:start w:val="1"/>
      <w:numFmt w:val="bullet"/>
      <w:lvlText w:val=""/>
      <w:lvlJc w:val="left"/>
      <w:pPr>
        <w:ind w:left="1211" w:hanging="360"/>
      </w:pPr>
      <w:rPr>
        <w:rFonts w:ascii="Wingdings" w:hAnsi="Wingdings" w:hint="default"/>
        <w:sz w:val="22"/>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55" w15:restartNumberingAfterBreak="0">
    <w:nsid w:val="5B9A5FFE"/>
    <w:multiLevelType w:val="multilevel"/>
    <w:tmpl w:val="0C78A7AC"/>
    <w:name w:val="NTG Table Bullet List33222222222222"/>
    <w:numStyleLink w:val="Tablebulletlist"/>
  </w:abstractNum>
  <w:abstractNum w:abstractNumId="56" w15:restartNumberingAfterBreak="0">
    <w:nsid w:val="5D444259"/>
    <w:multiLevelType w:val="multilevel"/>
    <w:tmpl w:val="0C78A7AC"/>
    <w:name w:val="NTG Table Bullet List332222"/>
    <w:numStyleLink w:val="Tablebulletlist"/>
  </w:abstractNum>
  <w:abstractNum w:abstractNumId="57" w15:restartNumberingAfterBreak="0">
    <w:nsid w:val="61E433C6"/>
    <w:multiLevelType w:val="hybridMultilevel"/>
    <w:tmpl w:val="AB64C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42F26C0"/>
    <w:multiLevelType w:val="hybridMultilevel"/>
    <w:tmpl w:val="7D663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9262556"/>
    <w:multiLevelType w:val="multilevel"/>
    <w:tmpl w:val="3E5E177A"/>
    <w:name w:val="NTG Table Bullet List3322222222222222"/>
    <w:numStyleLink w:val="Tablenumberlist"/>
  </w:abstractNum>
  <w:abstractNum w:abstractNumId="60" w15:restartNumberingAfterBreak="0">
    <w:nsid w:val="6E561674"/>
    <w:multiLevelType w:val="hybridMultilevel"/>
    <w:tmpl w:val="484AC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ECF3779"/>
    <w:multiLevelType w:val="hybridMultilevel"/>
    <w:tmpl w:val="2E74789E"/>
    <w:lvl w:ilvl="0" w:tplc="B67E9E5E">
      <w:start w:val="4"/>
      <w:numFmt w:val="lowerLetter"/>
      <w:lvlText w:val="(%1)"/>
      <w:lvlJc w:val="left"/>
      <w:pPr>
        <w:ind w:left="1499" w:hanging="360"/>
      </w:pPr>
      <w:rPr>
        <w:rFonts w:hint="default"/>
        <w:b w:val="0"/>
        <w:sz w:val="24"/>
        <w:szCs w:val="24"/>
      </w:rPr>
    </w:lvl>
    <w:lvl w:ilvl="1" w:tplc="0C090019" w:tentative="1">
      <w:start w:val="1"/>
      <w:numFmt w:val="lowerLetter"/>
      <w:lvlText w:val="%2."/>
      <w:lvlJc w:val="left"/>
      <w:pPr>
        <w:ind w:left="2219" w:hanging="360"/>
      </w:pPr>
    </w:lvl>
    <w:lvl w:ilvl="2" w:tplc="0C09001B" w:tentative="1">
      <w:start w:val="1"/>
      <w:numFmt w:val="lowerRoman"/>
      <w:lvlText w:val="%3."/>
      <w:lvlJc w:val="right"/>
      <w:pPr>
        <w:ind w:left="2939" w:hanging="180"/>
      </w:pPr>
    </w:lvl>
    <w:lvl w:ilvl="3" w:tplc="0C09000F" w:tentative="1">
      <w:start w:val="1"/>
      <w:numFmt w:val="decimal"/>
      <w:lvlText w:val="%4."/>
      <w:lvlJc w:val="left"/>
      <w:pPr>
        <w:ind w:left="3659" w:hanging="360"/>
      </w:pPr>
    </w:lvl>
    <w:lvl w:ilvl="4" w:tplc="0C090019" w:tentative="1">
      <w:start w:val="1"/>
      <w:numFmt w:val="lowerLetter"/>
      <w:lvlText w:val="%5."/>
      <w:lvlJc w:val="left"/>
      <w:pPr>
        <w:ind w:left="4379" w:hanging="360"/>
      </w:pPr>
    </w:lvl>
    <w:lvl w:ilvl="5" w:tplc="0C09001B" w:tentative="1">
      <w:start w:val="1"/>
      <w:numFmt w:val="lowerRoman"/>
      <w:lvlText w:val="%6."/>
      <w:lvlJc w:val="right"/>
      <w:pPr>
        <w:ind w:left="5099" w:hanging="180"/>
      </w:pPr>
    </w:lvl>
    <w:lvl w:ilvl="6" w:tplc="0C09000F" w:tentative="1">
      <w:start w:val="1"/>
      <w:numFmt w:val="decimal"/>
      <w:lvlText w:val="%7."/>
      <w:lvlJc w:val="left"/>
      <w:pPr>
        <w:ind w:left="5819" w:hanging="360"/>
      </w:pPr>
    </w:lvl>
    <w:lvl w:ilvl="7" w:tplc="0C090019" w:tentative="1">
      <w:start w:val="1"/>
      <w:numFmt w:val="lowerLetter"/>
      <w:lvlText w:val="%8."/>
      <w:lvlJc w:val="left"/>
      <w:pPr>
        <w:ind w:left="6539" w:hanging="360"/>
      </w:pPr>
    </w:lvl>
    <w:lvl w:ilvl="8" w:tplc="0C09001B" w:tentative="1">
      <w:start w:val="1"/>
      <w:numFmt w:val="lowerRoman"/>
      <w:lvlText w:val="%9."/>
      <w:lvlJc w:val="right"/>
      <w:pPr>
        <w:ind w:left="7259" w:hanging="180"/>
      </w:pPr>
    </w:lvl>
  </w:abstractNum>
  <w:abstractNum w:abstractNumId="62" w15:restartNumberingAfterBreak="0">
    <w:nsid w:val="7453664D"/>
    <w:multiLevelType w:val="multilevel"/>
    <w:tmpl w:val="0C78A7AC"/>
    <w:name w:val="NTG Table Bullet List3322222222222222222"/>
    <w:numStyleLink w:val="Tablebulletlist"/>
  </w:abstractNum>
  <w:abstractNum w:abstractNumId="63" w15:restartNumberingAfterBreak="0">
    <w:nsid w:val="76141D1E"/>
    <w:multiLevelType w:val="multilevel"/>
    <w:tmpl w:val="0C78A7AC"/>
    <w:name w:val="NTG Table Bullet List332222222222"/>
    <w:numStyleLink w:val="Tablebulletlist"/>
  </w:abstractNum>
  <w:abstractNum w:abstractNumId="6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6" w15:restartNumberingAfterBreak="0">
    <w:nsid w:val="7FE25AF8"/>
    <w:multiLevelType w:val="hybridMultilevel"/>
    <w:tmpl w:val="3E72F456"/>
    <w:lvl w:ilvl="0" w:tplc="0C09000B">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002124319">
    <w:abstractNumId w:val="34"/>
  </w:num>
  <w:num w:numId="2" w16cid:durableId="1504859593">
    <w:abstractNumId w:val="20"/>
  </w:num>
  <w:num w:numId="3" w16cid:durableId="202835213">
    <w:abstractNumId w:val="64"/>
  </w:num>
  <w:num w:numId="4" w16cid:durableId="460810049">
    <w:abstractNumId w:val="43"/>
  </w:num>
  <w:num w:numId="5" w16cid:durableId="168910908">
    <w:abstractNumId w:val="27"/>
  </w:num>
  <w:num w:numId="6" w16cid:durableId="955792199">
    <w:abstractNumId w:val="12"/>
  </w:num>
  <w:num w:numId="7" w16cid:durableId="413432010">
    <w:abstractNumId w:val="50"/>
  </w:num>
  <w:num w:numId="8" w16cid:durableId="2077311955">
    <w:abstractNumId w:val="24"/>
  </w:num>
  <w:num w:numId="9" w16cid:durableId="758253654">
    <w:abstractNumId w:val="54"/>
  </w:num>
  <w:num w:numId="10" w16cid:durableId="975374339">
    <w:abstractNumId w:val="46"/>
  </w:num>
  <w:num w:numId="11" w16cid:durableId="466901126">
    <w:abstractNumId w:val="28"/>
  </w:num>
  <w:num w:numId="12" w16cid:durableId="975574659">
    <w:abstractNumId w:val="18"/>
  </w:num>
  <w:num w:numId="13" w16cid:durableId="1485318534">
    <w:abstractNumId w:val="25"/>
  </w:num>
  <w:num w:numId="14" w16cid:durableId="1338145755">
    <w:abstractNumId w:val="44"/>
  </w:num>
  <w:num w:numId="15" w16cid:durableId="1747262311">
    <w:abstractNumId w:val="33"/>
  </w:num>
  <w:num w:numId="16" w16cid:durableId="1323583286">
    <w:abstractNumId w:val="61"/>
  </w:num>
  <w:num w:numId="17" w16cid:durableId="509297482">
    <w:abstractNumId w:val="31"/>
  </w:num>
  <w:num w:numId="18" w16cid:durableId="317660099">
    <w:abstractNumId w:val="35"/>
  </w:num>
  <w:num w:numId="19" w16cid:durableId="1694527129">
    <w:abstractNumId w:val="17"/>
  </w:num>
  <w:num w:numId="20" w16cid:durableId="133573395">
    <w:abstractNumId w:val="15"/>
  </w:num>
  <w:num w:numId="21" w16cid:durableId="2028751598">
    <w:abstractNumId w:val="66"/>
  </w:num>
  <w:num w:numId="22" w16cid:durableId="1776632277">
    <w:abstractNumId w:val="47"/>
  </w:num>
  <w:num w:numId="23" w16cid:durableId="1128428168">
    <w:abstractNumId w:val="40"/>
  </w:num>
  <w:num w:numId="24" w16cid:durableId="1604803857">
    <w:abstractNumId w:val="37"/>
  </w:num>
  <w:num w:numId="25" w16cid:durableId="540095455">
    <w:abstractNumId w:val="60"/>
  </w:num>
  <w:num w:numId="26" w16cid:durableId="137000188">
    <w:abstractNumId w:val="58"/>
  </w:num>
  <w:num w:numId="27" w16cid:durableId="100538538">
    <w:abstractNumId w:val="48"/>
  </w:num>
  <w:num w:numId="28" w16cid:durableId="826287094">
    <w:abstractNumId w:val="4"/>
  </w:num>
  <w:num w:numId="29" w16cid:durableId="2115399678">
    <w:abstractNumId w:val="0"/>
  </w:num>
  <w:num w:numId="30" w16cid:durableId="933322956">
    <w:abstractNumId w:val="57"/>
  </w:num>
  <w:num w:numId="31" w16cid:durableId="1173448766">
    <w:abstractNumId w:val="19"/>
  </w:num>
  <w:num w:numId="32" w16cid:durableId="2094812216">
    <w:abstractNumId w:val="21"/>
  </w:num>
  <w:num w:numId="33" w16cid:durableId="1965040130">
    <w:abstractNumId w:val="3"/>
  </w:num>
  <w:num w:numId="34" w16cid:durableId="1916745578">
    <w:abstractNumId w:val="7"/>
  </w:num>
  <w:num w:numId="35" w16cid:durableId="1565289995">
    <w:abstractNumId w:val="49"/>
  </w:num>
  <w:num w:numId="36" w16cid:durableId="797335459">
    <w:abstractNumId w:val="26"/>
  </w:num>
  <w:num w:numId="37" w16cid:durableId="1675953757">
    <w:abstractNumId w:val="38"/>
  </w:num>
  <w:num w:numId="38" w16cid:durableId="553929618">
    <w:abstractNumId w:val="8"/>
  </w:num>
  <w:num w:numId="39" w16cid:durableId="2091807662">
    <w:abstractNumId w:val="41"/>
  </w:num>
  <w:num w:numId="40" w16cid:durableId="34156317">
    <w:abstractNumId w:val="3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proofState w:spelling="clean" w:grammar="clean"/>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documentProtection w:edit="readOnly" w:formatting="1" w:enforcement="0"/>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88B"/>
    <w:rsid w:val="00001DDF"/>
    <w:rsid w:val="0000322D"/>
    <w:rsid w:val="00003F3E"/>
    <w:rsid w:val="0000475D"/>
    <w:rsid w:val="00007670"/>
    <w:rsid w:val="00010665"/>
    <w:rsid w:val="000107E4"/>
    <w:rsid w:val="00010D2F"/>
    <w:rsid w:val="00010D6D"/>
    <w:rsid w:val="00014C45"/>
    <w:rsid w:val="00014D36"/>
    <w:rsid w:val="0002393A"/>
    <w:rsid w:val="000257A1"/>
    <w:rsid w:val="00027D79"/>
    <w:rsid w:val="00027DB8"/>
    <w:rsid w:val="000304E8"/>
    <w:rsid w:val="000319ED"/>
    <w:rsid w:val="00031A96"/>
    <w:rsid w:val="000338D0"/>
    <w:rsid w:val="00037550"/>
    <w:rsid w:val="00037A05"/>
    <w:rsid w:val="00037ADD"/>
    <w:rsid w:val="00040BF3"/>
    <w:rsid w:val="00041DD2"/>
    <w:rsid w:val="0004211C"/>
    <w:rsid w:val="0004471B"/>
    <w:rsid w:val="00046C59"/>
    <w:rsid w:val="00051362"/>
    <w:rsid w:val="00051816"/>
    <w:rsid w:val="00051F45"/>
    <w:rsid w:val="00052953"/>
    <w:rsid w:val="0005341A"/>
    <w:rsid w:val="0005465F"/>
    <w:rsid w:val="0005569A"/>
    <w:rsid w:val="00056DEF"/>
    <w:rsid w:val="00056EDC"/>
    <w:rsid w:val="00065F4A"/>
    <w:rsid w:val="0006635A"/>
    <w:rsid w:val="0006694E"/>
    <w:rsid w:val="00070500"/>
    <w:rsid w:val="000720BE"/>
    <w:rsid w:val="0007259C"/>
    <w:rsid w:val="0007520D"/>
    <w:rsid w:val="000778C6"/>
    <w:rsid w:val="00080202"/>
    <w:rsid w:val="00080DCD"/>
    <w:rsid w:val="00080E22"/>
    <w:rsid w:val="00082573"/>
    <w:rsid w:val="000840A3"/>
    <w:rsid w:val="00085062"/>
    <w:rsid w:val="00086A5F"/>
    <w:rsid w:val="000911EF"/>
    <w:rsid w:val="00094C3C"/>
    <w:rsid w:val="000961F7"/>
    <w:rsid w:val="000962C5"/>
    <w:rsid w:val="0009751B"/>
    <w:rsid w:val="00097865"/>
    <w:rsid w:val="000A0626"/>
    <w:rsid w:val="000A1D39"/>
    <w:rsid w:val="000A4317"/>
    <w:rsid w:val="000A559C"/>
    <w:rsid w:val="000B1553"/>
    <w:rsid w:val="000B1BEC"/>
    <w:rsid w:val="000B2CA1"/>
    <w:rsid w:val="000B573F"/>
    <w:rsid w:val="000B7372"/>
    <w:rsid w:val="000C2223"/>
    <w:rsid w:val="000C339B"/>
    <w:rsid w:val="000C3D5E"/>
    <w:rsid w:val="000C5D35"/>
    <w:rsid w:val="000C6D20"/>
    <w:rsid w:val="000D1F29"/>
    <w:rsid w:val="000D2506"/>
    <w:rsid w:val="000D633D"/>
    <w:rsid w:val="000D6EFF"/>
    <w:rsid w:val="000E342B"/>
    <w:rsid w:val="000E3ED2"/>
    <w:rsid w:val="000E42F6"/>
    <w:rsid w:val="000E5517"/>
    <w:rsid w:val="000E5DD2"/>
    <w:rsid w:val="000E6C0B"/>
    <w:rsid w:val="000F0692"/>
    <w:rsid w:val="000F19A7"/>
    <w:rsid w:val="000F2958"/>
    <w:rsid w:val="000F37EB"/>
    <w:rsid w:val="000F3850"/>
    <w:rsid w:val="000F3FD5"/>
    <w:rsid w:val="000F5C6D"/>
    <w:rsid w:val="000F604F"/>
    <w:rsid w:val="00104E7F"/>
    <w:rsid w:val="00111601"/>
    <w:rsid w:val="00112F11"/>
    <w:rsid w:val="001137EC"/>
    <w:rsid w:val="00114404"/>
    <w:rsid w:val="001152F5"/>
    <w:rsid w:val="001155E6"/>
    <w:rsid w:val="00117743"/>
    <w:rsid w:val="00117F5B"/>
    <w:rsid w:val="00123C07"/>
    <w:rsid w:val="00124A46"/>
    <w:rsid w:val="00127715"/>
    <w:rsid w:val="00130149"/>
    <w:rsid w:val="00131042"/>
    <w:rsid w:val="001322B1"/>
    <w:rsid w:val="00132658"/>
    <w:rsid w:val="0013316F"/>
    <w:rsid w:val="00133D88"/>
    <w:rsid w:val="00136DD0"/>
    <w:rsid w:val="00137B69"/>
    <w:rsid w:val="001419F6"/>
    <w:rsid w:val="00144CF9"/>
    <w:rsid w:val="001466AE"/>
    <w:rsid w:val="001474E9"/>
    <w:rsid w:val="00150DC0"/>
    <w:rsid w:val="001525E7"/>
    <w:rsid w:val="00156CD4"/>
    <w:rsid w:val="0016153B"/>
    <w:rsid w:val="00162207"/>
    <w:rsid w:val="00162781"/>
    <w:rsid w:val="00164A3E"/>
    <w:rsid w:val="00166FF6"/>
    <w:rsid w:val="0016788B"/>
    <w:rsid w:val="00167FA2"/>
    <w:rsid w:val="00173EE9"/>
    <w:rsid w:val="001740FA"/>
    <w:rsid w:val="00174A02"/>
    <w:rsid w:val="00176123"/>
    <w:rsid w:val="00176500"/>
    <w:rsid w:val="0018046D"/>
    <w:rsid w:val="001807B8"/>
    <w:rsid w:val="00181620"/>
    <w:rsid w:val="001817B2"/>
    <w:rsid w:val="00184EF8"/>
    <w:rsid w:val="001859FF"/>
    <w:rsid w:val="00187130"/>
    <w:rsid w:val="00187E4B"/>
    <w:rsid w:val="00191CC9"/>
    <w:rsid w:val="00191CDE"/>
    <w:rsid w:val="0019287F"/>
    <w:rsid w:val="001957AD"/>
    <w:rsid w:val="00196F8E"/>
    <w:rsid w:val="001A081B"/>
    <w:rsid w:val="001A1514"/>
    <w:rsid w:val="001A156F"/>
    <w:rsid w:val="001A2B7F"/>
    <w:rsid w:val="001A3AFD"/>
    <w:rsid w:val="001A496C"/>
    <w:rsid w:val="001A576A"/>
    <w:rsid w:val="001B04A7"/>
    <w:rsid w:val="001B28DA"/>
    <w:rsid w:val="001B2AD5"/>
    <w:rsid w:val="001B2B6C"/>
    <w:rsid w:val="001B43CF"/>
    <w:rsid w:val="001B5E4A"/>
    <w:rsid w:val="001B64C9"/>
    <w:rsid w:val="001B7017"/>
    <w:rsid w:val="001B7856"/>
    <w:rsid w:val="001C3C1E"/>
    <w:rsid w:val="001D01C4"/>
    <w:rsid w:val="001D0F3B"/>
    <w:rsid w:val="001D4F99"/>
    <w:rsid w:val="001D52B0"/>
    <w:rsid w:val="001D5A18"/>
    <w:rsid w:val="001D7CA4"/>
    <w:rsid w:val="001E057F"/>
    <w:rsid w:val="001E09EA"/>
    <w:rsid w:val="001E14EB"/>
    <w:rsid w:val="001E52DA"/>
    <w:rsid w:val="001F164C"/>
    <w:rsid w:val="001F59E6"/>
    <w:rsid w:val="001F6A92"/>
    <w:rsid w:val="0020082B"/>
    <w:rsid w:val="00203CC1"/>
    <w:rsid w:val="00203F1C"/>
    <w:rsid w:val="00206936"/>
    <w:rsid w:val="00206C6F"/>
    <w:rsid w:val="00206FBD"/>
    <w:rsid w:val="00207239"/>
    <w:rsid w:val="00207746"/>
    <w:rsid w:val="00207E1D"/>
    <w:rsid w:val="002145E6"/>
    <w:rsid w:val="00217D63"/>
    <w:rsid w:val="002209FE"/>
    <w:rsid w:val="00221910"/>
    <w:rsid w:val="0022207F"/>
    <w:rsid w:val="0022605A"/>
    <w:rsid w:val="00230031"/>
    <w:rsid w:val="00231AED"/>
    <w:rsid w:val="00234EEA"/>
    <w:rsid w:val="00235224"/>
    <w:rsid w:val="00235C01"/>
    <w:rsid w:val="0023777D"/>
    <w:rsid w:val="00247343"/>
    <w:rsid w:val="002474F2"/>
    <w:rsid w:val="002534C3"/>
    <w:rsid w:val="00255003"/>
    <w:rsid w:val="00256359"/>
    <w:rsid w:val="002575A2"/>
    <w:rsid w:val="002605AF"/>
    <w:rsid w:val="00260F10"/>
    <w:rsid w:val="00263759"/>
    <w:rsid w:val="00265C56"/>
    <w:rsid w:val="00266CEA"/>
    <w:rsid w:val="00266F99"/>
    <w:rsid w:val="002716CD"/>
    <w:rsid w:val="00272CA6"/>
    <w:rsid w:val="002740ED"/>
    <w:rsid w:val="00274D4B"/>
    <w:rsid w:val="00275C80"/>
    <w:rsid w:val="0027725B"/>
    <w:rsid w:val="002778D1"/>
    <w:rsid w:val="002806F5"/>
    <w:rsid w:val="002808F1"/>
    <w:rsid w:val="00281577"/>
    <w:rsid w:val="002819A7"/>
    <w:rsid w:val="002852E0"/>
    <w:rsid w:val="00285FBF"/>
    <w:rsid w:val="002900F3"/>
    <w:rsid w:val="00290236"/>
    <w:rsid w:val="002926BC"/>
    <w:rsid w:val="00293A72"/>
    <w:rsid w:val="002949A4"/>
    <w:rsid w:val="002958E8"/>
    <w:rsid w:val="00297112"/>
    <w:rsid w:val="002A0160"/>
    <w:rsid w:val="002A04C5"/>
    <w:rsid w:val="002A0704"/>
    <w:rsid w:val="002A114F"/>
    <w:rsid w:val="002A30C3"/>
    <w:rsid w:val="002A3237"/>
    <w:rsid w:val="002A6F6A"/>
    <w:rsid w:val="002A7712"/>
    <w:rsid w:val="002B100C"/>
    <w:rsid w:val="002B2440"/>
    <w:rsid w:val="002B30AD"/>
    <w:rsid w:val="002B38F7"/>
    <w:rsid w:val="002B4433"/>
    <w:rsid w:val="002B4F50"/>
    <w:rsid w:val="002B5591"/>
    <w:rsid w:val="002B561A"/>
    <w:rsid w:val="002B6AA4"/>
    <w:rsid w:val="002C1FE9"/>
    <w:rsid w:val="002C615A"/>
    <w:rsid w:val="002C62C9"/>
    <w:rsid w:val="002C663F"/>
    <w:rsid w:val="002D37BA"/>
    <w:rsid w:val="002D3A57"/>
    <w:rsid w:val="002D4851"/>
    <w:rsid w:val="002D71F6"/>
    <w:rsid w:val="002D7D05"/>
    <w:rsid w:val="002E0BB9"/>
    <w:rsid w:val="002E1724"/>
    <w:rsid w:val="002E20C8"/>
    <w:rsid w:val="002E4290"/>
    <w:rsid w:val="002E4BF5"/>
    <w:rsid w:val="002E5B7C"/>
    <w:rsid w:val="002E62A5"/>
    <w:rsid w:val="002E66A6"/>
    <w:rsid w:val="002F0DB1"/>
    <w:rsid w:val="002F18DB"/>
    <w:rsid w:val="002F214E"/>
    <w:rsid w:val="002F2885"/>
    <w:rsid w:val="002F45A1"/>
    <w:rsid w:val="002F471F"/>
    <w:rsid w:val="002F525F"/>
    <w:rsid w:val="002F5C3E"/>
    <w:rsid w:val="00300ABE"/>
    <w:rsid w:val="00301ED6"/>
    <w:rsid w:val="0030203D"/>
    <w:rsid w:val="003032E4"/>
    <w:rsid w:val="003037F9"/>
    <w:rsid w:val="0030583E"/>
    <w:rsid w:val="00305C7C"/>
    <w:rsid w:val="0030611B"/>
    <w:rsid w:val="003077A4"/>
    <w:rsid w:val="00307FE1"/>
    <w:rsid w:val="003114E2"/>
    <w:rsid w:val="00314C07"/>
    <w:rsid w:val="003155E4"/>
    <w:rsid w:val="003164BA"/>
    <w:rsid w:val="00316F99"/>
    <w:rsid w:val="0032323B"/>
    <w:rsid w:val="003258E6"/>
    <w:rsid w:val="003300C6"/>
    <w:rsid w:val="00331548"/>
    <w:rsid w:val="00331D3A"/>
    <w:rsid w:val="00342283"/>
    <w:rsid w:val="0034243B"/>
    <w:rsid w:val="00343A87"/>
    <w:rsid w:val="00344A36"/>
    <w:rsid w:val="003456F4"/>
    <w:rsid w:val="00345FCE"/>
    <w:rsid w:val="003462A0"/>
    <w:rsid w:val="00347EBB"/>
    <w:rsid w:val="00347FB6"/>
    <w:rsid w:val="003504FD"/>
    <w:rsid w:val="00350881"/>
    <w:rsid w:val="0035092D"/>
    <w:rsid w:val="00351411"/>
    <w:rsid w:val="003543F7"/>
    <w:rsid w:val="00355934"/>
    <w:rsid w:val="00357D55"/>
    <w:rsid w:val="00361879"/>
    <w:rsid w:val="00363513"/>
    <w:rsid w:val="003654E1"/>
    <w:rsid w:val="003657E5"/>
    <w:rsid w:val="0036589C"/>
    <w:rsid w:val="00366730"/>
    <w:rsid w:val="0036745E"/>
    <w:rsid w:val="00370A6B"/>
    <w:rsid w:val="00370FC1"/>
    <w:rsid w:val="00371312"/>
    <w:rsid w:val="00371DC7"/>
    <w:rsid w:val="0037248E"/>
    <w:rsid w:val="00375719"/>
    <w:rsid w:val="00376E2D"/>
    <w:rsid w:val="00377B21"/>
    <w:rsid w:val="0038035D"/>
    <w:rsid w:val="00380E00"/>
    <w:rsid w:val="00382493"/>
    <w:rsid w:val="00386B45"/>
    <w:rsid w:val="00390CE3"/>
    <w:rsid w:val="0039273B"/>
    <w:rsid w:val="00393736"/>
    <w:rsid w:val="00394876"/>
    <w:rsid w:val="00394AAF"/>
    <w:rsid w:val="00394CE5"/>
    <w:rsid w:val="003A0501"/>
    <w:rsid w:val="003A51DB"/>
    <w:rsid w:val="003A6341"/>
    <w:rsid w:val="003A76B0"/>
    <w:rsid w:val="003B0836"/>
    <w:rsid w:val="003B1477"/>
    <w:rsid w:val="003B149D"/>
    <w:rsid w:val="003B1B1D"/>
    <w:rsid w:val="003B1D6A"/>
    <w:rsid w:val="003B67FD"/>
    <w:rsid w:val="003B6A61"/>
    <w:rsid w:val="003C00E2"/>
    <w:rsid w:val="003C6310"/>
    <w:rsid w:val="003D0F63"/>
    <w:rsid w:val="003D1162"/>
    <w:rsid w:val="003D2F23"/>
    <w:rsid w:val="003D42C0"/>
    <w:rsid w:val="003D46ED"/>
    <w:rsid w:val="003D4B52"/>
    <w:rsid w:val="003D5B29"/>
    <w:rsid w:val="003D7818"/>
    <w:rsid w:val="003E0B28"/>
    <w:rsid w:val="003E2445"/>
    <w:rsid w:val="003E3BB2"/>
    <w:rsid w:val="003E3D6F"/>
    <w:rsid w:val="003E5544"/>
    <w:rsid w:val="003E55E8"/>
    <w:rsid w:val="003E6127"/>
    <w:rsid w:val="003F3148"/>
    <w:rsid w:val="003F5B58"/>
    <w:rsid w:val="0040222A"/>
    <w:rsid w:val="00402D62"/>
    <w:rsid w:val="004047BC"/>
    <w:rsid w:val="0040698F"/>
    <w:rsid w:val="00407D2B"/>
    <w:rsid w:val="004100F7"/>
    <w:rsid w:val="00411519"/>
    <w:rsid w:val="004129A0"/>
    <w:rsid w:val="0041366B"/>
    <w:rsid w:val="00414CB3"/>
    <w:rsid w:val="0041563D"/>
    <w:rsid w:val="004208F3"/>
    <w:rsid w:val="00424242"/>
    <w:rsid w:val="0042648E"/>
    <w:rsid w:val="004265ED"/>
    <w:rsid w:val="00426E25"/>
    <w:rsid w:val="00427D9C"/>
    <w:rsid w:val="00427E7E"/>
    <w:rsid w:val="00430BCA"/>
    <w:rsid w:val="00432B65"/>
    <w:rsid w:val="00432E86"/>
    <w:rsid w:val="0043465D"/>
    <w:rsid w:val="004361A2"/>
    <w:rsid w:val="004376A1"/>
    <w:rsid w:val="00440ACC"/>
    <w:rsid w:val="00443B6E"/>
    <w:rsid w:val="0044465B"/>
    <w:rsid w:val="0045420A"/>
    <w:rsid w:val="004554D4"/>
    <w:rsid w:val="00455E75"/>
    <w:rsid w:val="004566E3"/>
    <w:rsid w:val="00456D0D"/>
    <w:rsid w:val="00457350"/>
    <w:rsid w:val="00461744"/>
    <w:rsid w:val="00461DB0"/>
    <w:rsid w:val="00462FC5"/>
    <w:rsid w:val="00466185"/>
    <w:rsid w:val="00466303"/>
    <w:rsid w:val="004668A7"/>
    <w:rsid w:val="00466D96"/>
    <w:rsid w:val="00467747"/>
    <w:rsid w:val="00470017"/>
    <w:rsid w:val="0047105A"/>
    <w:rsid w:val="00473C98"/>
    <w:rsid w:val="0047419A"/>
    <w:rsid w:val="00474965"/>
    <w:rsid w:val="00480017"/>
    <w:rsid w:val="00482DF8"/>
    <w:rsid w:val="00483932"/>
    <w:rsid w:val="004864DE"/>
    <w:rsid w:val="00486820"/>
    <w:rsid w:val="004911BB"/>
    <w:rsid w:val="004919EA"/>
    <w:rsid w:val="00494BE5"/>
    <w:rsid w:val="0049561B"/>
    <w:rsid w:val="004A07B9"/>
    <w:rsid w:val="004A0EBA"/>
    <w:rsid w:val="004A2538"/>
    <w:rsid w:val="004A2839"/>
    <w:rsid w:val="004A29E0"/>
    <w:rsid w:val="004A2B46"/>
    <w:rsid w:val="004A331E"/>
    <w:rsid w:val="004A5B06"/>
    <w:rsid w:val="004B0C15"/>
    <w:rsid w:val="004B2BD7"/>
    <w:rsid w:val="004B35EA"/>
    <w:rsid w:val="004B69E4"/>
    <w:rsid w:val="004C37CA"/>
    <w:rsid w:val="004C3A1F"/>
    <w:rsid w:val="004C3ACC"/>
    <w:rsid w:val="004C6C39"/>
    <w:rsid w:val="004C7AC5"/>
    <w:rsid w:val="004D075F"/>
    <w:rsid w:val="004D1401"/>
    <w:rsid w:val="004D1B76"/>
    <w:rsid w:val="004D249E"/>
    <w:rsid w:val="004D344E"/>
    <w:rsid w:val="004D4FA9"/>
    <w:rsid w:val="004D70E2"/>
    <w:rsid w:val="004E019E"/>
    <w:rsid w:val="004E06EC"/>
    <w:rsid w:val="004E0A3F"/>
    <w:rsid w:val="004E107A"/>
    <w:rsid w:val="004E1DC4"/>
    <w:rsid w:val="004E2CB7"/>
    <w:rsid w:val="004F016A"/>
    <w:rsid w:val="004F6A51"/>
    <w:rsid w:val="00500F94"/>
    <w:rsid w:val="00502FB3"/>
    <w:rsid w:val="00503DE9"/>
    <w:rsid w:val="0050530C"/>
    <w:rsid w:val="00505DEA"/>
    <w:rsid w:val="005072C3"/>
    <w:rsid w:val="00507782"/>
    <w:rsid w:val="00510152"/>
    <w:rsid w:val="00510EAE"/>
    <w:rsid w:val="00512A04"/>
    <w:rsid w:val="00514D26"/>
    <w:rsid w:val="00516DAF"/>
    <w:rsid w:val="00517831"/>
    <w:rsid w:val="00520499"/>
    <w:rsid w:val="005207F9"/>
    <w:rsid w:val="005209AD"/>
    <w:rsid w:val="005249F5"/>
    <w:rsid w:val="005260F7"/>
    <w:rsid w:val="0052789E"/>
    <w:rsid w:val="005317ED"/>
    <w:rsid w:val="00532B16"/>
    <w:rsid w:val="00533267"/>
    <w:rsid w:val="00537586"/>
    <w:rsid w:val="00537B4C"/>
    <w:rsid w:val="00541773"/>
    <w:rsid w:val="00543812"/>
    <w:rsid w:val="00543BD1"/>
    <w:rsid w:val="00550C36"/>
    <w:rsid w:val="0055416A"/>
    <w:rsid w:val="005545EA"/>
    <w:rsid w:val="005551A7"/>
    <w:rsid w:val="00556113"/>
    <w:rsid w:val="00556F08"/>
    <w:rsid w:val="0056061A"/>
    <w:rsid w:val="00561564"/>
    <w:rsid w:val="00564C12"/>
    <w:rsid w:val="005654B8"/>
    <w:rsid w:val="00565E7F"/>
    <w:rsid w:val="005675E3"/>
    <w:rsid w:val="00567E1C"/>
    <w:rsid w:val="0057069C"/>
    <w:rsid w:val="00573CE5"/>
    <w:rsid w:val="005762CC"/>
    <w:rsid w:val="0058087B"/>
    <w:rsid w:val="00582BE0"/>
    <w:rsid w:val="00582D3D"/>
    <w:rsid w:val="005857E5"/>
    <w:rsid w:val="005866B2"/>
    <w:rsid w:val="005867D9"/>
    <w:rsid w:val="005879FB"/>
    <w:rsid w:val="00587AC9"/>
    <w:rsid w:val="00590040"/>
    <w:rsid w:val="00592E78"/>
    <w:rsid w:val="00595386"/>
    <w:rsid w:val="005970BB"/>
    <w:rsid w:val="00597234"/>
    <w:rsid w:val="005A0741"/>
    <w:rsid w:val="005A4AC0"/>
    <w:rsid w:val="005A5FDF"/>
    <w:rsid w:val="005A6074"/>
    <w:rsid w:val="005A75F0"/>
    <w:rsid w:val="005B07AC"/>
    <w:rsid w:val="005B0FB7"/>
    <w:rsid w:val="005B122A"/>
    <w:rsid w:val="005B1FCB"/>
    <w:rsid w:val="005B3315"/>
    <w:rsid w:val="005B437E"/>
    <w:rsid w:val="005B4F36"/>
    <w:rsid w:val="005B5AC2"/>
    <w:rsid w:val="005B73F8"/>
    <w:rsid w:val="005B7A9D"/>
    <w:rsid w:val="005B7DE2"/>
    <w:rsid w:val="005C09AD"/>
    <w:rsid w:val="005C0F6C"/>
    <w:rsid w:val="005C1F4E"/>
    <w:rsid w:val="005C2833"/>
    <w:rsid w:val="005C7A51"/>
    <w:rsid w:val="005C7AA3"/>
    <w:rsid w:val="005D4C5B"/>
    <w:rsid w:val="005D6C40"/>
    <w:rsid w:val="005E144D"/>
    <w:rsid w:val="005E1500"/>
    <w:rsid w:val="005E18A8"/>
    <w:rsid w:val="005E3A43"/>
    <w:rsid w:val="005E3FC4"/>
    <w:rsid w:val="005E5347"/>
    <w:rsid w:val="005E5F2C"/>
    <w:rsid w:val="005E728E"/>
    <w:rsid w:val="005F0B17"/>
    <w:rsid w:val="005F147C"/>
    <w:rsid w:val="005F1707"/>
    <w:rsid w:val="005F2298"/>
    <w:rsid w:val="005F480E"/>
    <w:rsid w:val="005F53A8"/>
    <w:rsid w:val="005F581B"/>
    <w:rsid w:val="005F664D"/>
    <w:rsid w:val="005F77C7"/>
    <w:rsid w:val="006007A0"/>
    <w:rsid w:val="006010B3"/>
    <w:rsid w:val="00603130"/>
    <w:rsid w:val="00606857"/>
    <w:rsid w:val="00607DB1"/>
    <w:rsid w:val="00607DDE"/>
    <w:rsid w:val="00610E78"/>
    <w:rsid w:val="00610E79"/>
    <w:rsid w:val="00611B42"/>
    <w:rsid w:val="00613C8C"/>
    <w:rsid w:val="00620675"/>
    <w:rsid w:val="00622910"/>
    <w:rsid w:val="0062399E"/>
    <w:rsid w:val="006254B6"/>
    <w:rsid w:val="006266E4"/>
    <w:rsid w:val="00626AC3"/>
    <w:rsid w:val="00627FC8"/>
    <w:rsid w:val="0063000E"/>
    <w:rsid w:val="00632CEF"/>
    <w:rsid w:val="006347B7"/>
    <w:rsid w:val="00636B87"/>
    <w:rsid w:val="0064093D"/>
    <w:rsid w:val="006433C3"/>
    <w:rsid w:val="00646134"/>
    <w:rsid w:val="00646E18"/>
    <w:rsid w:val="00650F5B"/>
    <w:rsid w:val="00652604"/>
    <w:rsid w:val="0066334C"/>
    <w:rsid w:val="006659F1"/>
    <w:rsid w:val="006666FA"/>
    <w:rsid w:val="006670D7"/>
    <w:rsid w:val="006719EA"/>
    <w:rsid w:val="00671F13"/>
    <w:rsid w:val="0067400A"/>
    <w:rsid w:val="00680C80"/>
    <w:rsid w:val="006814D7"/>
    <w:rsid w:val="006847AD"/>
    <w:rsid w:val="0069114B"/>
    <w:rsid w:val="006926CB"/>
    <w:rsid w:val="006928C9"/>
    <w:rsid w:val="00693100"/>
    <w:rsid w:val="006931C0"/>
    <w:rsid w:val="00693AB7"/>
    <w:rsid w:val="00694222"/>
    <w:rsid w:val="006944C1"/>
    <w:rsid w:val="0069774A"/>
    <w:rsid w:val="006A2444"/>
    <w:rsid w:val="006A2F2D"/>
    <w:rsid w:val="006A6316"/>
    <w:rsid w:val="006A6F6D"/>
    <w:rsid w:val="006A756A"/>
    <w:rsid w:val="006B2511"/>
    <w:rsid w:val="006B2841"/>
    <w:rsid w:val="006B2D6A"/>
    <w:rsid w:val="006B3920"/>
    <w:rsid w:val="006B446B"/>
    <w:rsid w:val="006B450E"/>
    <w:rsid w:val="006B5E69"/>
    <w:rsid w:val="006B6897"/>
    <w:rsid w:val="006B6E8E"/>
    <w:rsid w:val="006B79DC"/>
    <w:rsid w:val="006C030E"/>
    <w:rsid w:val="006C462C"/>
    <w:rsid w:val="006C52E6"/>
    <w:rsid w:val="006D2159"/>
    <w:rsid w:val="006D2949"/>
    <w:rsid w:val="006D6223"/>
    <w:rsid w:val="006D66F7"/>
    <w:rsid w:val="006F0040"/>
    <w:rsid w:val="006F0C78"/>
    <w:rsid w:val="006F301F"/>
    <w:rsid w:val="006F3505"/>
    <w:rsid w:val="006F4F1B"/>
    <w:rsid w:val="006F50AF"/>
    <w:rsid w:val="006F6C6A"/>
    <w:rsid w:val="00705C9D"/>
    <w:rsid w:val="00705F13"/>
    <w:rsid w:val="00714F1D"/>
    <w:rsid w:val="00715225"/>
    <w:rsid w:val="00720CC6"/>
    <w:rsid w:val="0072265F"/>
    <w:rsid w:val="00722DDB"/>
    <w:rsid w:val="00724728"/>
    <w:rsid w:val="00724F98"/>
    <w:rsid w:val="00725EDE"/>
    <w:rsid w:val="00726A8C"/>
    <w:rsid w:val="00730B9B"/>
    <w:rsid w:val="00731634"/>
    <w:rsid w:val="0073182E"/>
    <w:rsid w:val="00731E78"/>
    <w:rsid w:val="007321F5"/>
    <w:rsid w:val="00732628"/>
    <w:rsid w:val="00732EE3"/>
    <w:rsid w:val="007332FF"/>
    <w:rsid w:val="00734787"/>
    <w:rsid w:val="007354FE"/>
    <w:rsid w:val="00736BBA"/>
    <w:rsid w:val="00740192"/>
    <w:rsid w:val="007408F5"/>
    <w:rsid w:val="00741EAE"/>
    <w:rsid w:val="0074313D"/>
    <w:rsid w:val="00743E77"/>
    <w:rsid w:val="00750D2F"/>
    <w:rsid w:val="00755248"/>
    <w:rsid w:val="00755B5A"/>
    <w:rsid w:val="00757AD6"/>
    <w:rsid w:val="0076167B"/>
    <w:rsid w:val="0076190B"/>
    <w:rsid w:val="00763448"/>
    <w:rsid w:val="0076355D"/>
    <w:rsid w:val="00763A2D"/>
    <w:rsid w:val="0076634D"/>
    <w:rsid w:val="007670BC"/>
    <w:rsid w:val="007676A4"/>
    <w:rsid w:val="00770E35"/>
    <w:rsid w:val="00772E62"/>
    <w:rsid w:val="00774351"/>
    <w:rsid w:val="00775D76"/>
    <w:rsid w:val="00776C45"/>
    <w:rsid w:val="00777795"/>
    <w:rsid w:val="00780352"/>
    <w:rsid w:val="00780FA2"/>
    <w:rsid w:val="00781679"/>
    <w:rsid w:val="0078358E"/>
    <w:rsid w:val="007835E8"/>
    <w:rsid w:val="00783A57"/>
    <w:rsid w:val="00784C92"/>
    <w:rsid w:val="007859CD"/>
    <w:rsid w:val="00785C24"/>
    <w:rsid w:val="00785D01"/>
    <w:rsid w:val="00790667"/>
    <w:rsid w:val="007907E4"/>
    <w:rsid w:val="007909FA"/>
    <w:rsid w:val="00792ECC"/>
    <w:rsid w:val="007950EC"/>
    <w:rsid w:val="00796461"/>
    <w:rsid w:val="00797778"/>
    <w:rsid w:val="007A0DCC"/>
    <w:rsid w:val="007A6456"/>
    <w:rsid w:val="007A6A4F"/>
    <w:rsid w:val="007A6DE3"/>
    <w:rsid w:val="007A7A85"/>
    <w:rsid w:val="007B03F5"/>
    <w:rsid w:val="007B4D56"/>
    <w:rsid w:val="007B5C09"/>
    <w:rsid w:val="007B5DA2"/>
    <w:rsid w:val="007B5F0D"/>
    <w:rsid w:val="007B6CB5"/>
    <w:rsid w:val="007B709B"/>
    <w:rsid w:val="007B762C"/>
    <w:rsid w:val="007B77E4"/>
    <w:rsid w:val="007C0966"/>
    <w:rsid w:val="007C19E7"/>
    <w:rsid w:val="007C2BEC"/>
    <w:rsid w:val="007C39DD"/>
    <w:rsid w:val="007C4DCF"/>
    <w:rsid w:val="007C5CFD"/>
    <w:rsid w:val="007C6D9F"/>
    <w:rsid w:val="007D1977"/>
    <w:rsid w:val="007D2796"/>
    <w:rsid w:val="007D3C83"/>
    <w:rsid w:val="007D4893"/>
    <w:rsid w:val="007D5630"/>
    <w:rsid w:val="007E002E"/>
    <w:rsid w:val="007E128D"/>
    <w:rsid w:val="007E2245"/>
    <w:rsid w:val="007E40B0"/>
    <w:rsid w:val="007E44EB"/>
    <w:rsid w:val="007E70CF"/>
    <w:rsid w:val="007E74A4"/>
    <w:rsid w:val="007F182E"/>
    <w:rsid w:val="007F1B6F"/>
    <w:rsid w:val="007F263F"/>
    <w:rsid w:val="007F3DA4"/>
    <w:rsid w:val="0080040F"/>
    <w:rsid w:val="008015A8"/>
    <w:rsid w:val="008028DE"/>
    <w:rsid w:val="008061B7"/>
    <w:rsid w:val="0080766E"/>
    <w:rsid w:val="008106A8"/>
    <w:rsid w:val="00811169"/>
    <w:rsid w:val="00815297"/>
    <w:rsid w:val="008170DB"/>
    <w:rsid w:val="00817BA1"/>
    <w:rsid w:val="00822D77"/>
    <w:rsid w:val="00823022"/>
    <w:rsid w:val="00824099"/>
    <w:rsid w:val="00824AF2"/>
    <w:rsid w:val="0082634E"/>
    <w:rsid w:val="008313C4"/>
    <w:rsid w:val="00832582"/>
    <w:rsid w:val="008341A8"/>
    <w:rsid w:val="00835434"/>
    <w:rsid w:val="008358C0"/>
    <w:rsid w:val="00837116"/>
    <w:rsid w:val="00837842"/>
    <w:rsid w:val="0084043A"/>
    <w:rsid w:val="00840932"/>
    <w:rsid w:val="00842123"/>
    <w:rsid w:val="00842838"/>
    <w:rsid w:val="00844B43"/>
    <w:rsid w:val="008508C2"/>
    <w:rsid w:val="00854DD6"/>
    <w:rsid w:val="00854EC1"/>
    <w:rsid w:val="00855469"/>
    <w:rsid w:val="00856C76"/>
    <w:rsid w:val="0085770C"/>
    <w:rsid w:val="0085797F"/>
    <w:rsid w:val="00860615"/>
    <w:rsid w:val="00861DC3"/>
    <w:rsid w:val="00865426"/>
    <w:rsid w:val="0086574B"/>
    <w:rsid w:val="00867019"/>
    <w:rsid w:val="00867DAC"/>
    <w:rsid w:val="00870776"/>
    <w:rsid w:val="00870A45"/>
    <w:rsid w:val="00872BD6"/>
    <w:rsid w:val="00872EF1"/>
    <w:rsid w:val="008735A9"/>
    <w:rsid w:val="008749F8"/>
    <w:rsid w:val="00877953"/>
    <w:rsid w:val="00877BC5"/>
    <w:rsid w:val="00877D20"/>
    <w:rsid w:val="00880123"/>
    <w:rsid w:val="008816C0"/>
    <w:rsid w:val="00881A37"/>
    <w:rsid w:val="00881B1F"/>
    <w:rsid w:val="00881C48"/>
    <w:rsid w:val="0088477D"/>
    <w:rsid w:val="008847CA"/>
    <w:rsid w:val="00885B80"/>
    <w:rsid w:val="00885C30"/>
    <w:rsid w:val="00885E9B"/>
    <w:rsid w:val="00886CDD"/>
    <w:rsid w:val="00887EE3"/>
    <w:rsid w:val="00887F0D"/>
    <w:rsid w:val="008918FB"/>
    <w:rsid w:val="0089319B"/>
    <w:rsid w:val="00893C96"/>
    <w:rsid w:val="00894E7A"/>
    <w:rsid w:val="0089500A"/>
    <w:rsid w:val="00897345"/>
    <w:rsid w:val="00897C94"/>
    <w:rsid w:val="008A231B"/>
    <w:rsid w:val="008A3C5E"/>
    <w:rsid w:val="008A7C12"/>
    <w:rsid w:val="008B03CE"/>
    <w:rsid w:val="008B0571"/>
    <w:rsid w:val="008B21AD"/>
    <w:rsid w:val="008B50FC"/>
    <w:rsid w:val="008B529E"/>
    <w:rsid w:val="008B5779"/>
    <w:rsid w:val="008C0D34"/>
    <w:rsid w:val="008C17FB"/>
    <w:rsid w:val="008C2422"/>
    <w:rsid w:val="008C6E10"/>
    <w:rsid w:val="008C70BB"/>
    <w:rsid w:val="008D1B00"/>
    <w:rsid w:val="008D1D2A"/>
    <w:rsid w:val="008D278B"/>
    <w:rsid w:val="008D46F8"/>
    <w:rsid w:val="008D57B8"/>
    <w:rsid w:val="008D5B6B"/>
    <w:rsid w:val="008E03FC"/>
    <w:rsid w:val="008E17E5"/>
    <w:rsid w:val="008E2ACD"/>
    <w:rsid w:val="008E3799"/>
    <w:rsid w:val="008E510B"/>
    <w:rsid w:val="008E699A"/>
    <w:rsid w:val="008F0794"/>
    <w:rsid w:val="008F0DE5"/>
    <w:rsid w:val="008F288F"/>
    <w:rsid w:val="008F3410"/>
    <w:rsid w:val="008F422B"/>
    <w:rsid w:val="008F454D"/>
    <w:rsid w:val="009004B8"/>
    <w:rsid w:val="0090063D"/>
    <w:rsid w:val="0090091D"/>
    <w:rsid w:val="00901430"/>
    <w:rsid w:val="00902B13"/>
    <w:rsid w:val="0090397E"/>
    <w:rsid w:val="00905DD7"/>
    <w:rsid w:val="00911941"/>
    <w:rsid w:val="0091328A"/>
    <w:rsid w:val="0092024D"/>
    <w:rsid w:val="00923329"/>
    <w:rsid w:val="00925146"/>
    <w:rsid w:val="00925F0F"/>
    <w:rsid w:val="00927038"/>
    <w:rsid w:val="00927FC1"/>
    <w:rsid w:val="00930523"/>
    <w:rsid w:val="00932BF8"/>
    <w:rsid w:val="00932F6B"/>
    <w:rsid w:val="009330E4"/>
    <w:rsid w:val="009348F7"/>
    <w:rsid w:val="0094302C"/>
    <w:rsid w:val="00945FFB"/>
    <w:rsid w:val="00946527"/>
    <w:rsid w:val="009468BC"/>
    <w:rsid w:val="0094710C"/>
    <w:rsid w:val="0094788E"/>
    <w:rsid w:val="00947FAE"/>
    <w:rsid w:val="00950298"/>
    <w:rsid w:val="009520E1"/>
    <w:rsid w:val="00953762"/>
    <w:rsid w:val="0095427C"/>
    <w:rsid w:val="00955324"/>
    <w:rsid w:val="00956837"/>
    <w:rsid w:val="009570B1"/>
    <w:rsid w:val="009616DF"/>
    <w:rsid w:val="00963E4F"/>
    <w:rsid w:val="0096542F"/>
    <w:rsid w:val="00967FA7"/>
    <w:rsid w:val="009700BB"/>
    <w:rsid w:val="00971645"/>
    <w:rsid w:val="00972A4F"/>
    <w:rsid w:val="009731F8"/>
    <w:rsid w:val="00977067"/>
    <w:rsid w:val="00977919"/>
    <w:rsid w:val="00980CC4"/>
    <w:rsid w:val="00983000"/>
    <w:rsid w:val="009870FA"/>
    <w:rsid w:val="009921C3"/>
    <w:rsid w:val="0099551D"/>
    <w:rsid w:val="00996655"/>
    <w:rsid w:val="00996A64"/>
    <w:rsid w:val="009A006C"/>
    <w:rsid w:val="009A110C"/>
    <w:rsid w:val="009A4CAD"/>
    <w:rsid w:val="009A4F90"/>
    <w:rsid w:val="009A5897"/>
    <w:rsid w:val="009A59E3"/>
    <w:rsid w:val="009A5F24"/>
    <w:rsid w:val="009A7675"/>
    <w:rsid w:val="009A7866"/>
    <w:rsid w:val="009B013A"/>
    <w:rsid w:val="009B09FD"/>
    <w:rsid w:val="009B0B3E"/>
    <w:rsid w:val="009B1913"/>
    <w:rsid w:val="009B42E4"/>
    <w:rsid w:val="009B5025"/>
    <w:rsid w:val="009B5CED"/>
    <w:rsid w:val="009B6088"/>
    <w:rsid w:val="009B6657"/>
    <w:rsid w:val="009B6966"/>
    <w:rsid w:val="009C2386"/>
    <w:rsid w:val="009C3563"/>
    <w:rsid w:val="009D0EB5"/>
    <w:rsid w:val="009D14F9"/>
    <w:rsid w:val="009D2B74"/>
    <w:rsid w:val="009D63FF"/>
    <w:rsid w:val="009D790B"/>
    <w:rsid w:val="009E11BE"/>
    <w:rsid w:val="009E175D"/>
    <w:rsid w:val="009E3610"/>
    <w:rsid w:val="009E3CC2"/>
    <w:rsid w:val="009E7C37"/>
    <w:rsid w:val="009F06BD"/>
    <w:rsid w:val="009F2A4D"/>
    <w:rsid w:val="009F360A"/>
    <w:rsid w:val="009F796A"/>
    <w:rsid w:val="00A00828"/>
    <w:rsid w:val="00A016BB"/>
    <w:rsid w:val="00A01A50"/>
    <w:rsid w:val="00A03290"/>
    <w:rsid w:val="00A0387E"/>
    <w:rsid w:val="00A05BFD"/>
    <w:rsid w:val="00A07490"/>
    <w:rsid w:val="00A07812"/>
    <w:rsid w:val="00A10655"/>
    <w:rsid w:val="00A1103A"/>
    <w:rsid w:val="00A112A5"/>
    <w:rsid w:val="00A125C3"/>
    <w:rsid w:val="00A12B64"/>
    <w:rsid w:val="00A1424D"/>
    <w:rsid w:val="00A17E91"/>
    <w:rsid w:val="00A21C4F"/>
    <w:rsid w:val="00A22C38"/>
    <w:rsid w:val="00A25193"/>
    <w:rsid w:val="00A25369"/>
    <w:rsid w:val="00A26E80"/>
    <w:rsid w:val="00A31103"/>
    <w:rsid w:val="00A3141A"/>
    <w:rsid w:val="00A31AE8"/>
    <w:rsid w:val="00A35E17"/>
    <w:rsid w:val="00A36536"/>
    <w:rsid w:val="00A3739D"/>
    <w:rsid w:val="00A37DDA"/>
    <w:rsid w:val="00A45005"/>
    <w:rsid w:val="00A46CDF"/>
    <w:rsid w:val="00A475B3"/>
    <w:rsid w:val="00A5132E"/>
    <w:rsid w:val="00A52B55"/>
    <w:rsid w:val="00A55A62"/>
    <w:rsid w:val="00A56749"/>
    <w:rsid w:val="00A62D35"/>
    <w:rsid w:val="00A66857"/>
    <w:rsid w:val="00A66BB3"/>
    <w:rsid w:val="00A71D58"/>
    <w:rsid w:val="00A76790"/>
    <w:rsid w:val="00A7724E"/>
    <w:rsid w:val="00A80916"/>
    <w:rsid w:val="00A84B58"/>
    <w:rsid w:val="00A8545F"/>
    <w:rsid w:val="00A85EBA"/>
    <w:rsid w:val="00A91443"/>
    <w:rsid w:val="00A925EC"/>
    <w:rsid w:val="00A928D1"/>
    <w:rsid w:val="00A929AA"/>
    <w:rsid w:val="00A92B6B"/>
    <w:rsid w:val="00A92D07"/>
    <w:rsid w:val="00A92EC8"/>
    <w:rsid w:val="00A95484"/>
    <w:rsid w:val="00A95E7C"/>
    <w:rsid w:val="00A963C8"/>
    <w:rsid w:val="00AA52FD"/>
    <w:rsid w:val="00AA541E"/>
    <w:rsid w:val="00AB07E5"/>
    <w:rsid w:val="00AB496A"/>
    <w:rsid w:val="00AB5413"/>
    <w:rsid w:val="00AB63E4"/>
    <w:rsid w:val="00AC4C90"/>
    <w:rsid w:val="00AC6C9E"/>
    <w:rsid w:val="00AD0DA4"/>
    <w:rsid w:val="00AD1364"/>
    <w:rsid w:val="00AD4169"/>
    <w:rsid w:val="00AE0073"/>
    <w:rsid w:val="00AE20E5"/>
    <w:rsid w:val="00AE25C6"/>
    <w:rsid w:val="00AE306C"/>
    <w:rsid w:val="00AE4F01"/>
    <w:rsid w:val="00AF28C1"/>
    <w:rsid w:val="00B0078B"/>
    <w:rsid w:val="00B00F84"/>
    <w:rsid w:val="00B02EF1"/>
    <w:rsid w:val="00B07BC7"/>
    <w:rsid w:val="00B07C97"/>
    <w:rsid w:val="00B11C67"/>
    <w:rsid w:val="00B127C7"/>
    <w:rsid w:val="00B12A52"/>
    <w:rsid w:val="00B14C0F"/>
    <w:rsid w:val="00B15754"/>
    <w:rsid w:val="00B2046E"/>
    <w:rsid w:val="00B20E8B"/>
    <w:rsid w:val="00B257E1"/>
    <w:rsid w:val="00B2599A"/>
    <w:rsid w:val="00B27AC4"/>
    <w:rsid w:val="00B27CF6"/>
    <w:rsid w:val="00B30110"/>
    <w:rsid w:val="00B30B18"/>
    <w:rsid w:val="00B33E5A"/>
    <w:rsid w:val="00B343CC"/>
    <w:rsid w:val="00B3459E"/>
    <w:rsid w:val="00B3648D"/>
    <w:rsid w:val="00B36EFD"/>
    <w:rsid w:val="00B37C9C"/>
    <w:rsid w:val="00B40B0D"/>
    <w:rsid w:val="00B4258F"/>
    <w:rsid w:val="00B50669"/>
    <w:rsid w:val="00B5084A"/>
    <w:rsid w:val="00B606A1"/>
    <w:rsid w:val="00B614F7"/>
    <w:rsid w:val="00B61B26"/>
    <w:rsid w:val="00B61DEB"/>
    <w:rsid w:val="00B6329E"/>
    <w:rsid w:val="00B63A29"/>
    <w:rsid w:val="00B65E6B"/>
    <w:rsid w:val="00B675B2"/>
    <w:rsid w:val="00B757E2"/>
    <w:rsid w:val="00B80309"/>
    <w:rsid w:val="00B81261"/>
    <w:rsid w:val="00B81904"/>
    <w:rsid w:val="00B81A32"/>
    <w:rsid w:val="00B8223E"/>
    <w:rsid w:val="00B832AE"/>
    <w:rsid w:val="00B83F89"/>
    <w:rsid w:val="00B86678"/>
    <w:rsid w:val="00B87A73"/>
    <w:rsid w:val="00B87BBA"/>
    <w:rsid w:val="00B9024D"/>
    <w:rsid w:val="00B92F9B"/>
    <w:rsid w:val="00B9385A"/>
    <w:rsid w:val="00B93DB1"/>
    <w:rsid w:val="00B941B3"/>
    <w:rsid w:val="00B96513"/>
    <w:rsid w:val="00BA1D47"/>
    <w:rsid w:val="00BA1F64"/>
    <w:rsid w:val="00BA44C4"/>
    <w:rsid w:val="00BA57EA"/>
    <w:rsid w:val="00BA5EC5"/>
    <w:rsid w:val="00BA66F0"/>
    <w:rsid w:val="00BA7006"/>
    <w:rsid w:val="00BB221F"/>
    <w:rsid w:val="00BB2239"/>
    <w:rsid w:val="00BB2AE7"/>
    <w:rsid w:val="00BB3746"/>
    <w:rsid w:val="00BB53D4"/>
    <w:rsid w:val="00BB6236"/>
    <w:rsid w:val="00BB6464"/>
    <w:rsid w:val="00BC030E"/>
    <w:rsid w:val="00BC1BB8"/>
    <w:rsid w:val="00BC2299"/>
    <w:rsid w:val="00BC4D57"/>
    <w:rsid w:val="00BC5A50"/>
    <w:rsid w:val="00BD7180"/>
    <w:rsid w:val="00BD731C"/>
    <w:rsid w:val="00BD7FE1"/>
    <w:rsid w:val="00BE0EB9"/>
    <w:rsid w:val="00BE322A"/>
    <w:rsid w:val="00BE37CA"/>
    <w:rsid w:val="00BE4A3E"/>
    <w:rsid w:val="00BE4ECB"/>
    <w:rsid w:val="00BE6144"/>
    <w:rsid w:val="00BE635A"/>
    <w:rsid w:val="00BF1478"/>
    <w:rsid w:val="00BF17E9"/>
    <w:rsid w:val="00BF2ABB"/>
    <w:rsid w:val="00BF5099"/>
    <w:rsid w:val="00C0051E"/>
    <w:rsid w:val="00C0326E"/>
    <w:rsid w:val="00C04345"/>
    <w:rsid w:val="00C10F10"/>
    <w:rsid w:val="00C15D4D"/>
    <w:rsid w:val="00C175DC"/>
    <w:rsid w:val="00C17B74"/>
    <w:rsid w:val="00C17FFA"/>
    <w:rsid w:val="00C26CA0"/>
    <w:rsid w:val="00C30171"/>
    <w:rsid w:val="00C309D8"/>
    <w:rsid w:val="00C322B4"/>
    <w:rsid w:val="00C35610"/>
    <w:rsid w:val="00C357F6"/>
    <w:rsid w:val="00C36C0E"/>
    <w:rsid w:val="00C37263"/>
    <w:rsid w:val="00C37540"/>
    <w:rsid w:val="00C37F0E"/>
    <w:rsid w:val="00C43519"/>
    <w:rsid w:val="00C45263"/>
    <w:rsid w:val="00C50D62"/>
    <w:rsid w:val="00C51537"/>
    <w:rsid w:val="00C52BC3"/>
    <w:rsid w:val="00C52D20"/>
    <w:rsid w:val="00C5567A"/>
    <w:rsid w:val="00C55B5A"/>
    <w:rsid w:val="00C5616D"/>
    <w:rsid w:val="00C60EC1"/>
    <w:rsid w:val="00C61455"/>
    <w:rsid w:val="00C61AFA"/>
    <w:rsid w:val="00C61BC4"/>
    <w:rsid w:val="00C61D64"/>
    <w:rsid w:val="00C62099"/>
    <w:rsid w:val="00C62486"/>
    <w:rsid w:val="00C633E4"/>
    <w:rsid w:val="00C64EA3"/>
    <w:rsid w:val="00C70287"/>
    <w:rsid w:val="00C72867"/>
    <w:rsid w:val="00C73A9D"/>
    <w:rsid w:val="00C75E81"/>
    <w:rsid w:val="00C768B3"/>
    <w:rsid w:val="00C77F69"/>
    <w:rsid w:val="00C80292"/>
    <w:rsid w:val="00C804AC"/>
    <w:rsid w:val="00C809D1"/>
    <w:rsid w:val="00C817CB"/>
    <w:rsid w:val="00C81914"/>
    <w:rsid w:val="00C840A8"/>
    <w:rsid w:val="00C84C8D"/>
    <w:rsid w:val="00C86609"/>
    <w:rsid w:val="00C90BA3"/>
    <w:rsid w:val="00C92625"/>
    <w:rsid w:val="00C92A47"/>
    <w:rsid w:val="00C92A6F"/>
    <w:rsid w:val="00C92B4C"/>
    <w:rsid w:val="00C94CE8"/>
    <w:rsid w:val="00C954F6"/>
    <w:rsid w:val="00C95AED"/>
    <w:rsid w:val="00C96B3C"/>
    <w:rsid w:val="00C97055"/>
    <w:rsid w:val="00CA0308"/>
    <w:rsid w:val="00CA36A0"/>
    <w:rsid w:val="00CA52A2"/>
    <w:rsid w:val="00CA6BC5"/>
    <w:rsid w:val="00CB0F1A"/>
    <w:rsid w:val="00CB1669"/>
    <w:rsid w:val="00CC22C3"/>
    <w:rsid w:val="00CC3474"/>
    <w:rsid w:val="00CC401E"/>
    <w:rsid w:val="00CC571B"/>
    <w:rsid w:val="00CC61CD"/>
    <w:rsid w:val="00CC69C4"/>
    <w:rsid w:val="00CC6C02"/>
    <w:rsid w:val="00CC714E"/>
    <w:rsid w:val="00CC71E8"/>
    <w:rsid w:val="00CC737B"/>
    <w:rsid w:val="00CD4695"/>
    <w:rsid w:val="00CD48BA"/>
    <w:rsid w:val="00CD5011"/>
    <w:rsid w:val="00CD5213"/>
    <w:rsid w:val="00CE00B9"/>
    <w:rsid w:val="00CE0475"/>
    <w:rsid w:val="00CE13BF"/>
    <w:rsid w:val="00CE2B22"/>
    <w:rsid w:val="00CE302B"/>
    <w:rsid w:val="00CE640F"/>
    <w:rsid w:val="00CE76BC"/>
    <w:rsid w:val="00CF088B"/>
    <w:rsid w:val="00CF208D"/>
    <w:rsid w:val="00CF540E"/>
    <w:rsid w:val="00D00272"/>
    <w:rsid w:val="00D0163C"/>
    <w:rsid w:val="00D02F07"/>
    <w:rsid w:val="00D03994"/>
    <w:rsid w:val="00D03B35"/>
    <w:rsid w:val="00D05474"/>
    <w:rsid w:val="00D10EE5"/>
    <w:rsid w:val="00D1192B"/>
    <w:rsid w:val="00D13831"/>
    <w:rsid w:val="00D15D88"/>
    <w:rsid w:val="00D20A4E"/>
    <w:rsid w:val="00D268EE"/>
    <w:rsid w:val="00D27EBE"/>
    <w:rsid w:val="00D3019D"/>
    <w:rsid w:val="00D3025F"/>
    <w:rsid w:val="00D30DF4"/>
    <w:rsid w:val="00D30E56"/>
    <w:rsid w:val="00D31116"/>
    <w:rsid w:val="00D329F4"/>
    <w:rsid w:val="00D35553"/>
    <w:rsid w:val="00D36A49"/>
    <w:rsid w:val="00D43FE9"/>
    <w:rsid w:val="00D45EA8"/>
    <w:rsid w:val="00D46997"/>
    <w:rsid w:val="00D46C0F"/>
    <w:rsid w:val="00D50543"/>
    <w:rsid w:val="00D517C6"/>
    <w:rsid w:val="00D52EE2"/>
    <w:rsid w:val="00D56736"/>
    <w:rsid w:val="00D60415"/>
    <w:rsid w:val="00D60BC2"/>
    <w:rsid w:val="00D61FD1"/>
    <w:rsid w:val="00D6696A"/>
    <w:rsid w:val="00D70E35"/>
    <w:rsid w:val="00D719AB"/>
    <w:rsid w:val="00D71D84"/>
    <w:rsid w:val="00D722E3"/>
    <w:rsid w:val="00D72464"/>
    <w:rsid w:val="00D72A57"/>
    <w:rsid w:val="00D75B0B"/>
    <w:rsid w:val="00D7665F"/>
    <w:rsid w:val="00D768EB"/>
    <w:rsid w:val="00D76D7A"/>
    <w:rsid w:val="00D81117"/>
    <w:rsid w:val="00D81E17"/>
    <w:rsid w:val="00D828F6"/>
    <w:rsid w:val="00D82D1E"/>
    <w:rsid w:val="00D832D9"/>
    <w:rsid w:val="00D85B46"/>
    <w:rsid w:val="00D875D1"/>
    <w:rsid w:val="00D9014C"/>
    <w:rsid w:val="00D904AE"/>
    <w:rsid w:val="00D908CD"/>
    <w:rsid w:val="00D90F00"/>
    <w:rsid w:val="00D9217A"/>
    <w:rsid w:val="00D921A3"/>
    <w:rsid w:val="00D975C0"/>
    <w:rsid w:val="00DA199F"/>
    <w:rsid w:val="00DA1E9F"/>
    <w:rsid w:val="00DA2C2F"/>
    <w:rsid w:val="00DA2E18"/>
    <w:rsid w:val="00DA5285"/>
    <w:rsid w:val="00DA5BEA"/>
    <w:rsid w:val="00DA64D3"/>
    <w:rsid w:val="00DA717F"/>
    <w:rsid w:val="00DB191D"/>
    <w:rsid w:val="00DB3670"/>
    <w:rsid w:val="00DB4F91"/>
    <w:rsid w:val="00DB6D0A"/>
    <w:rsid w:val="00DB7B99"/>
    <w:rsid w:val="00DC06BE"/>
    <w:rsid w:val="00DC1873"/>
    <w:rsid w:val="00DC1F0F"/>
    <w:rsid w:val="00DC3117"/>
    <w:rsid w:val="00DC4BFE"/>
    <w:rsid w:val="00DC5DD9"/>
    <w:rsid w:val="00DC603D"/>
    <w:rsid w:val="00DC6D2D"/>
    <w:rsid w:val="00DC6DA8"/>
    <w:rsid w:val="00DD16E6"/>
    <w:rsid w:val="00DD19B6"/>
    <w:rsid w:val="00DD30E2"/>
    <w:rsid w:val="00DD4E59"/>
    <w:rsid w:val="00DD77B3"/>
    <w:rsid w:val="00DD78DE"/>
    <w:rsid w:val="00DD7E32"/>
    <w:rsid w:val="00DE33B5"/>
    <w:rsid w:val="00DE5E18"/>
    <w:rsid w:val="00DF03B0"/>
    <w:rsid w:val="00DF0487"/>
    <w:rsid w:val="00DF184E"/>
    <w:rsid w:val="00DF2C99"/>
    <w:rsid w:val="00DF5EA4"/>
    <w:rsid w:val="00DF6808"/>
    <w:rsid w:val="00E0118D"/>
    <w:rsid w:val="00E02681"/>
    <w:rsid w:val="00E02792"/>
    <w:rsid w:val="00E034D8"/>
    <w:rsid w:val="00E043A8"/>
    <w:rsid w:val="00E04CC0"/>
    <w:rsid w:val="00E1023E"/>
    <w:rsid w:val="00E153A0"/>
    <w:rsid w:val="00E15816"/>
    <w:rsid w:val="00E160D5"/>
    <w:rsid w:val="00E239FF"/>
    <w:rsid w:val="00E25A89"/>
    <w:rsid w:val="00E27908"/>
    <w:rsid w:val="00E27D7B"/>
    <w:rsid w:val="00E30556"/>
    <w:rsid w:val="00E30981"/>
    <w:rsid w:val="00E311FE"/>
    <w:rsid w:val="00E32ADC"/>
    <w:rsid w:val="00E33136"/>
    <w:rsid w:val="00E34D7C"/>
    <w:rsid w:val="00E34E97"/>
    <w:rsid w:val="00E353F2"/>
    <w:rsid w:val="00E36941"/>
    <w:rsid w:val="00E3723D"/>
    <w:rsid w:val="00E376AD"/>
    <w:rsid w:val="00E41EA5"/>
    <w:rsid w:val="00E4319C"/>
    <w:rsid w:val="00E44B8A"/>
    <w:rsid w:val="00E44BCC"/>
    <w:rsid w:val="00E44C89"/>
    <w:rsid w:val="00E457A6"/>
    <w:rsid w:val="00E52375"/>
    <w:rsid w:val="00E54A14"/>
    <w:rsid w:val="00E556E8"/>
    <w:rsid w:val="00E61BA2"/>
    <w:rsid w:val="00E62E23"/>
    <w:rsid w:val="00E63158"/>
    <w:rsid w:val="00E63864"/>
    <w:rsid w:val="00E6403F"/>
    <w:rsid w:val="00E67376"/>
    <w:rsid w:val="00E75451"/>
    <w:rsid w:val="00E75616"/>
    <w:rsid w:val="00E761F2"/>
    <w:rsid w:val="00E76AB0"/>
    <w:rsid w:val="00E770C4"/>
    <w:rsid w:val="00E81233"/>
    <w:rsid w:val="00E84C5A"/>
    <w:rsid w:val="00E861DB"/>
    <w:rsid w:val="00E86DED"/>
    <w:rsid w:val="00E908F1"/>
    <w:rsid w:val="00E91B29"/>
    <w:rsid w:val="00E93406"/>
    <w:rsid w:val="00E9402C"/>
    <w:rsid w:val="00E956C5"/>
    <w:rsid w:val="00E95C39"/>
    <w:rsid w:val="00EA2C39"/>
    <w:rsid w:val="00EA676F"/>
    <w:rsid w:val="00EB0264"/>
    <w:rsid w:val="00EB0A3C"/>
    <w:rsid w:val="00EB0A96"/>
    <w:rsid w:val="00EB164C"/>
    <w:rsid w:val="00EB1D82"/>
    <w:rsid w:val="00EB5868"/>
    <w:rsid w:val="00EB77F9"/>
    <w:rsid w:val="00EB7A32"/>
    <w:rsid w:val="00EB7D83"/>
    <w:rsid w:val="00EC3B1A"/>
    <w:rsid w:val="00EC46CB"/>
    <w:rsid w:val="00EC4A6B"/>
    <w:rsid w:val="00EC53E0"/>
    <w:rsid w:val="00EC5769"/>
    <w:rsid w:val="00EC5CF6"/>
    <w:rsid w:val="00EC76B1"/>
    <w:rsid w:val="00EC7D00"/>
    <w:rsid w:val="00ED0304"/>
    <w:rsid w:val="00ED2A74"/>
    <w:rsid w:val="00ED5B7B"/>
    <w:rsid w:val="00ED5CBB"/>
    <w:rsid w:val="00ED6666"/>
    <w:rsid w:val="00EE2DED"/>
    <w:rsid w:val="00EE38FA"/>
    <w:rsid w:val="00EE3E2C"/>
    <w:rsid w:val="00EE4971"/>
    <w:rsid w:val="00EE5D23"/>
    <w:rsid w:val="00EE6225"/>
    <w:rsid w:val="00EE750D"/>
    <w:rsid w:val="00EF26EE"/>
    <w:rsid w:val="00EF2978"/>
    <w:rsid w:val="00EF3CA4"/>
    <w:rsid w:val="00EF5810"/>
    <w:rsid w:val="00EF7362"/>
    <w:rsid w:val="00EF76A6"/>
    <w:rsid w:val="00EF7859"/>
    <w:rsid w:val="00F014DA"/>
    <w:rsid w:val="00F02591"/>
    <w:rsid w:val="00F0783C"/>
    <w:rsid w:val="00F12F87"/>
    <w:rsid w:val="00F13E4A"/>
    <w:rsid w:val="00F2060C"/>
    <w:rsid w:val="00F20FFE"/>
    <w:rsid w:val="00F240F0"/>
    <w:rsid w:val="00F2532F"/>
    <w:rsid w:val="00F27862"/>
    <w:rsid w:val="00F27AE4"/>
    <w:rsid w:val="00F30090"/>
    <w:rsid w:val="00F31FD4"/>
    <w:rsid w:val="00F330DB"/>
    <w:rsid w:val="00F34B10"/>
    <w:rsid w:val="00F34F61"/>
    <w:rsid w:val="00F371D1"/>
    <w:rsid w:val="00F45E37"/>
    <w:rsid w:val="00F46029"/>
    <w:rsid w:val="00F47026"/>
    <w:rsid w:val="00F47800"/>
    <w:rsid w:val="00F47A7C"/>
    <w:rsid w:val="00F54CF7"/>
    <w:rsid w:val="00F5696E"/>
    <w:rsid w:val="00F56FBF"/>
    <w:rsid w:val="00F574CC"/>
    <w:rsid w:val="00F60EFF"/>
    <w:rsid w:val="00F62A12"/>
    <w:rsid w:val="00F64C69"/>
    <w:rsid w:val="00F673ED"/>
    <w:rsid w:val="00F67D2D"/>
    <w:rsid w:val="00F75D7E"/>
    <w:rsid w:val="00F82BF0"/>
    <w:rsid w:val="00F831A4"/>
    <w:rsid w:val="00F83D4C"/>
    <w:rsid w:val="00F858F2"/>
    <w:rsid w:val="00F860CC"/>
    <w:rsid w:val="00F86410"/>
    <w:rsid w:val="00F86FD1"/>
    <w:rsid w:val="00F90309"/>
    <w:rsid w:val="00F90960"/>
    <w:rsid w:val="00F927A8"/>
    <w:rsid w:val="00F94398"/>
    <w:rsid w:val="00F96270"/>
    <w:rsid w:val="00F9629A"/>
    <w:rsid w:val="00F96724"/>
    <w:rsid w:val="00FA0076"/>
    <w:rsid w:val="00FA0617"/>
    <w:rsid w:val="00FA13C2"/>
    <w:rsid w:val="00FA1DB2"/>
    <w:rsid w:val="00FA3570"/>
    <w:rsid w:val="00FA5019"/>
    <w:rsid w:val="00FB2B56"/>
    <w:rsid w:val="00FB37E1"/>
    <w:rsid w:val="00FB4C33"/>
    <w:rsid w:val="00FB55D5"/>
    <w:rsid w:val="00FC12BF"/>
    <w:rsid w:val="00FC1B25"/>
    <w:rsid w:val="00FC26C2"/>
    <w:rsid w:val="00FC2C60"/>
    <w:rsid w:val="00FC2C6D"/>
    <w:rsid w:val="00FC670B"/>
    <w:rsid w:val="00FD2004"/>
    <w:rsid w:val="00FD3E6F"/>
    <w:rsid w:val="00FD51B9"/>
    <w:rsid w:val="00FD5849"/>
    <w:rsid w:val="00FD7EE8"/>
    <w:rsid w:val="00FE2A39"/>
    <w:rsid w:val="00FE460C"/>
    <w:rsid w:val="00FF2AEE"/>
    <w:rsid w:val="00FF39CF"/>
    <w:rsid w:val="00FF4F97"/>
    <w:rsid w:val="00FF4FB4"/>
    <w:rsid w:val="00FF5BD3"/>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99E86"/>
  <w15:docId w15:val="{43F26577-BBFB-4BAF-BBBF-8E827C5A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8"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List Number 2" w:uiPriority="5"/>
    <w:lsdException w:name="List Number 3" w:uiPriority="5"/>
    <w:lsdException w:name="List Number 4" w:uiPriority="5"/>
    <w:lsdException w:name="List Number 5" w:uiPriority="5"/>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FD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996655"/>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996655"/>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996655"/>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996655"/>
    <w:rPr>
      <w:rFonts w:ascii="Lato SemiBold" w:eastAsia="Times New Roman" w:hAnsi="Lato SemiBold"/>
      <w:color w:val="454347"/>
      <w:sz w:val="32"/>
      <w:szCs w:val="28"/>
    </w:rPr>
  </w:style>
  <w:style w:type="paragraph" w:styleId="Title">
    <w:name w:val="Title"/>
    <w:basedOn w:val="Normal"/>
    <w:next w:val="Normal"/>
    <w:link w:val="TitleChar"/>
    <w:qFormat/>
    <w:rsid w:val="00D61FD1"/>
    <w:pPr>
      <w:spacing w:after="800"/>
    </w:pPr>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D61FD1"/>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96655"/>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8C0D34"/>
    <w:pPr>
      <w:tabs>
        <w:tab w:val="right" w:pos="9638"/>
      </w:tabs>
      <w:spacing w:after="240"/>
    </w:pPr>
  </w:style>
  <w:style w:type="character" w:customStyle="1" w:styleId="HeaderChar">
    <w:name w:val="Header Char"/>
    <w:aliases w:val="Page header Char"/>
    <w:basedOn w:val="DefaultParagraphFont"/>
    <w:link w:val="Header"/>
    <w:uiPriority w:val="8"/>
    <w:rsid w:val="008C0D3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E44B8A"/>
    <w:pPr>
      <w:numPr>
        <w:ilvl w:val="1"/>
      </w:numPr>
      <w:spacing w:after="160"/>
      <w:jc w:val="right"/>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996655"/>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qFormat/>
    <w:rsid w:val="003B67FD"/>
    <w:pPr>
      <w:spacing w:before="480" w:after="0"/>
      <w:outlineLvl w:val="9"/>
    </w:pPr>
    <w:rPr>
      <w:kern w:val="0"/>
      <w:szCs w:val="28"/>
    </w:rPr>
  </w:style>
  <w:style w:type="paragraph" w:styleId="TOC1">
    <w:name w:val="toc 1"/>
    <w:basedOn w:val="Normal"/>
    <w:next w:val="Normal"/>
    <w:autoRedefine/>
    <w:uiPriority w:val="39"/>
    <w:rsid w:val="007859CD"/>
    <w:pPr>
      <w:spacing w:after="100"/>
    </w:pPr>
  </w:style>
  <w:style w:type="paragraph" w:styleId="TOC2">
    <w:name w:val="toc 2"/>
    <w:basedOn w:val="Normal"/>
    <w:next w:val="Normal"/>
    <w:autoRedefine/>
    <w:uiPriority w:val="39"/>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paragraph" w:styleId="Caption">
    <w:name w:val="caption"/>
    <w:basedOn w:val="Normal"/>
    <w:next w:val="Normal"/>
    <w:uiPriority w:val="8"/>
    <w:rsid w:val="0099665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C0326E"/>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meetingagendatable">
    <w:name w:val="NTG meeting agenda table"/>
    <w:basedOn w:val="TableNormal"/>
    <w:uiPriority w:val="99"/>
    <w:rsid w:val="00B87BBA"/>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firstCol">
      <w:rPr>
        <w:b/>
      </w:rPr>
      <w:tblPr/>
      <w:tcPr>
        <w:shd w:val="clear" w:color="auto" w:fill="1F1F5F" w:themeFill="text1"/>
      </w:tcPr>
    </w:tblStylePr>
    <w:tblStylePr w:type="band2Horz">
      <w:tblPr/>
      <w:tcPr>
        <w:shd w:val="clear" w:color="auto" w:fill="D9D9D9" w:themeFill="background1" w:themeFillShade="D9"/>
      </w:tcPr>
    </w:tblStylePr>
  </w:style>
  <w:style w:type="paragraph" w:customStyle="1" w:styleId="Default">
    <w:name w:val="Default"/>
    <w:rsid w:val="00F12F87"/>
    <w:pPr>
      <w:autoSpaceDE w:val="0"/>
      <w:autoSpaceDN w:val="0"/>
      <w:adjustRightInd w:val="0"/>
      <w:spacing w:after="0"/>
    </w:pPr>
    <w:rPr>
      <w:rFonts w:ascii="Calibri" w:hAnsi="Calibri" w:cs="Calibri"/>
      <w:color w:val="000000"/>
      <w:sz w:val="24"/>
      <w:szCs w:val="24"/>
    </w:rPr>
  </w:style>
  <w:style w:type="character" w:styleId="Emphasis">
    <w:name w:val="Emphasis"/>
    <w:basedOn w:val="DefaultParagraphFont"/>
    <w:uiPriority w:val="20"/>
    <w:qFormat/>
    <w:rsid w:val="009C3563"/>
    <w:rPr>
      <w:i/>
      <w:iCs/>
    </w:rPr>
  </w:style>
  <w:style w:type="character" w:styleId="CommentReference">
    <w:name w:val="annotation reference"/>
    <w:basedOn w:val="DefaultParagraphFont"/>
    <w:uiPriority w:val="99"/>
    <w:semiHidden/>
    <w:unhideWhenUsed/>
    <w:rsid w:val="009C3563"/>
    <w:rPr>
      <w:sz w:val="16"/>
      <w:szCs w:val="16"/>
    </w:rPr>
  </w:style>
  <w:style w:type="paragraph" w:styleId="CommentText">
    <w:name w:val="annotation text"/>
    <w:basedOn w:val="Normal"/>
    <w:link w:val="CommentTextChar"/>
    <w:uiPriority w:val="99"/>
    <w:unhideWhenUsed/>
    <w:rsid w:val="009C3563"/>
    <w:rPr>
      <w:sz w:val="20"/>
      <w:szCs w:val="20"/>
    </w:rPr>
  </w:style>
  <w:style w:type="character" w:customStyle="1" w:styleId="CommentTextChar">
    <w:name w:val="Comment Text Char"/>
    <w:basedOn w:val="DefaultParagraphFont"/>
    <w:link w:val="CommentText"/>
    <w:uiPriority w:val="99"/>
    <w:rsid w:val="009C3563"/>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9C3563"/>
    <w:rPr>
      <w:b/>
      <w:bCs/>
    </w:rPr>
  </w:style>
  <w:style w:type="character" w:customStyle="1" w:styleId="CommentSubjectChar">
    <w:name w:val="Comment Subject Char"/>
    <w:basedOn w:val="CommentTextChar"/>
    <w:link w:val="CommentSubject"/>
    <w:uiPriority w:val="99"/>
    <w:semiHidden/>
    <w:rsid w:val="009C3563"/>
    <w:rPr>
      <w:rFonts w:ascii="Lato" w:hAnsi="Lato"/>
      <w:b/>
      <w:bCs/>
      <w:sz w:val="20"/>
      <w:szCs w:val="20"/>
    </w:rPr>
  </w:style>
  <w:style w:type="character" w:styleId="FollowedHyperlink">
    <w:name w:val="FollowedHyperlink"/>
    <w:basedOn w:val="DefaultParagraphFont"/>
    <w:uiPriority w:val="99"/>
    <w:semiHidden/>
    <w:unhideWhenUsed/>
    <w:rsid w:val="008F288F"/>
    <w:rPr>
      <w:color w:val="8C4799" w:themeColor="followedHyperlink"/>
      <w:u w:val="single"/>
    </w:rPr>
  </w:style>
  <w:style w:type="paragraph" w:customStyle="1" w:styleId="ListBulletIndent">
    <w:name w:val="List Bullet Indent"/>
    <w:basedOn w:val="ListBullet"/>
    <w:uiPriority w:val="9"/>
    <w:qFormat/>
    <w:rsid w:val="007C2BEC"/>
    <w:pPr>
      <w:numPr>
        <w:numId w:val="13"/>
      </w:numPr>
      <w:tabs>
        <w:tab w:val="left" w:pos="357"/>
      </w:tabs>
      <w:spacing w:before="60" w:after="60"/>
    </w:pPr>
    <w:rPr>
      <w:rFonts w:ascii="Calibri" w:eastAsiaTheme="minorHAnsi" w:hAnsi="Calibri" w:cstheme="minorBidi"/>
      <w:color w:val="1E5E5E" w:themeColor="accent6"/>
      <w:szCs w:val="18"/>
    </w:rPr>
  </w:style>
  <w:style w:type="paragraph" w:styleId="Revision">
    <w:name w:val="Revision"/>
    <w:hidden/>
    <w:uiPriority w:val="99"/>
    <w:semiHidden/>
    <w:rsid w:val="007835E8"/>
    <w:pPr>
      <w:spacing w:after="0"/>
    </w:pPr>
    <w:rPr>
      <w:rFonts w:ascii="Lato" w:hAnsi="Lato"/>
    </w:rPr>
  </w:style>
  <w:style w:type="character" w:customStyle="1" w:styleId="ListParagraphChar">
    <w:name w:val="List Paragraph Char"/>
    <w:basedOn w:val="DefaultParagraphFont"/>
    <w:link w:val="ListParagraph"/>
    <w:uiPriority w:val="34"/>
    <w:rsid w:val="00A1103A"/>
    <w:rPr>
      <w:rFonts w:ascii="Lato" w:eastAsiaTheme="minorEastAsia" w:hAnsi="Lato"/>
      <w:iCs/>
    </w:rPr>
  </w:style>
  <w:style w:type="character" w:customStyle="1" w:styleId="normaltextrun">
    <w:name w:val="normaltextrun"/>
    <w:basedOn w:val="DefaultParagraphFont"/>
    <w:rsid w:val="00DD16E6"/>
  </w:style>
  <w:style w:type="character" w:customStyle="1" w:styleId="eop">
    <w:name w:val="eop"/>
    <w:basedOn w:val="DefaultParagraphFont"/>
    <w:rsid w:val="00DD1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41190">
      <w:bodyDiv w:val="1"/>
      <w:marLeft w:val="0"/>
      <w:marRight w:val="0"/>
      <w:marTop w:val="0"/>
      <w:marBottom w:val="0"/>
      <w:divBdr>
        <w:top w:val="none" w:sz="0" w:space="0" w:color="auto"/>
        <w:left w:val="none" w:sz="0" w:space="0" w:color="auto"/>
        <w:bottom w:val="none" w:sz="0" w:space="0" w:color="auto"/>
        <w:right w:val="none" w:sz="0" w:space="0" w:color="auto"/>
      </w:divBdr>
      <w:divsChild>
        <w:div w:id="1031077918">
          <w:marLeft w:val="274"/>
          <w:marRight w:val="0"/>
          <w:marTop w:val="0"/>
          <w:marBottom w:val="0"/>
          <w:divBdr>
            <w:top w:val="none" w:sz="0" w:space="0" w:color="auto"/>
            <w:left w:val="none" w:sz="0" w:space="0" w:color="auto"/>
            <w:bottom w:val="none" w:sz="0" w:space="0" w:color="auto"/>
            <w:right w:val="none" w:sz="0" w:space="0" w:color="auto"/>
          </w:divBdr>
        </w:div>
        <w:div w:id="873617529">
          <w:marLeft w:val="274"/>
          <w:marRight w:val="0"/>
          <w:marTop w:val="0"/>
          <w:marBottom w:val="0"/>
          <w:divBdr>
            <w:top w:val="none" w:sz="0" w:space="0" w:color="auto"/>
            <w:left w:val="none" w:sz="0" w:space="0" w:color="auto"/>
            <w:bottom w:val="none" w:sz="0" w:space="0" w:color="auto"/>
            <w:right w:val="none" w:sz="0" w:space="0" w:color="auto"/>
          </w:divBdr>
        </w:div>
        <w:div w:id="766003992">
          <w:marLeft w:val="274"/>
          <w:marRight w:val="0"/>
          <w:marTop w:val="0"/>
          <w:marBottom w:val="0"/>
          <w:divBdr>
            <w:top w:val="none" w:sz="0" w:space="0" w:color="auto"/>
            <w:left w:val="none" w:sz="0" w:space="0" w:color="auto"/>
            <w:bottom w:val="none" w:sz="0" w:space="0" w:color="auto"/>
            <w:right w:val="none" w:sz="0" w:space="0" w:color="auto"/>
          </w:divBdr>
        </w:div>
      </w:divsChild>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36295849">
      <w:bodyDiv w:val="1"/>
      <w:marLeft w:val="0"/>
      <w:marRight w:val="0"/>
      <w:marTop w:val="0"/>
      <w:marBottom w:val="0"/>
      <w:divBdr>
        <w:top w:val="none" w:sz="0" w:space="0" w:color="auto"/>
        <w:left w:val="none" w:sz="0" w:space="0" w:color="auto"/>
        <w:bottom w:val="none" w:sz="0" w:space="0" w:color="auto"/>
        <w:right w:val="none" w:sz="0" w:space="0" w:color="auto"/>
      </w:divBdr>
    </w:div>
    <w:div w:id="468329880">
      <w:bodyDiv w:val="1"/>
      <w:marLeft w:val="0"/>
      <w:marRight w:val="0"/>
      <w:marTop w:val="0"/>
      <w:marBottom w:val="0"/>
      <w:divBdr>
        <w:top w:val="none" w:sz="0" w:space="0" w:color="auto"/>
        <w:left w:val="none" w:sz="0" w:space="0" w:color="auto"/>
        <w:bottom w:val="none" w:sz="0" w:space="0" w:color="auto"/>
        <w:right w:val="none" w:sz="0" w:space="0" w:color="auto"/>
      </w:divBdr>
    </w:div>
    <w:div w:id="666371621">
      <w:bodyDiv w:val="1"/>
      <w:marLeft w:val="0"/>
      <w:marRight w:val="0"/>
      <w:marTop w:val="0"/>
      <w:marBottom w:val="0"/>
      <w:divBdr>
        <w:top w:val="none" w:sz="0" w:space="0" w:color="auto"/>
        <w:left w:val="none" w:sz="0" w:space="0" w:color="auto"/>
        <w:bottom w:val="none" w:sz="0" w:space="0" w:color="auto"/>
        <w:right w:val="none" w:sz="0" w:space="0" w:color="auto"/>
      </w:divBdr>
      <w:divsChild>
        <w:div w:id="1072193149">
          <w:marLeft w:val="274"/>
          <w:marRight w:val="0"/>
          <w:marTop w:val="0"/>
          <w:marBottom w:val="0"/>
          <w:divBdr>
            <w:top w:val="none" w:sz="0" w:space="0" w:color="auto"/>
            <w:left w:val="none" w:sz="0" w:space="0" w:color="auto"/>
            <w:bottom w:val="none" w:sz="0" w:space="0" w:color="auto"/>
            <w:right w:val="none" w:sz="0" w:space="0" w:color="auto"/>
          </w:divBdr>
        </w:div>
        <w:div w:id="1360932319">
          <w:marLeft w:val="274"/>
          <w:marRight w:val="0"/>
          <w:marTop w:val="0"/>
          <w:marBottom w:val="0"/>
          <w:divBdr>
            <w:top w:val="none" w:sz="0" w:space="0" w:color="auto"/>
            <w:left w:val="none" w:sz="0" w:space="0" w:color="auto"/>
            <w:bottom w:val="none" w:sz="0" w:space="0" w:color="auto"/>
            <w:right w:val="none" w:sz="0" w:space="0" w:color="auto"/>
          </w:divBdr>
        </w:div>
        <w:div w:id="1321084298">
          <w:marLeft w:val="274"/>
          <w:marRight w:val="0"/>
          <w:marTop w:val="0"/>
          <w:marBottom w:val="0"/>
          <w:divBdr>
            <w:top w:val="none" w:sz="0" w:space="0" w:color="auto"/>
            <w:left w:val="none" w:sz="0" w:space="0" w:color="auto"/>
            <w:bottom w:val="none" w:sz="0" w:space="0" w:color="auto"/>
            <w:right w:val="none" w:sz="0" w:space="0" w:color="auto"/>
          </w:divBdr>
        </w:div>
        <w:div w:id="1706756991">
          <w:marLeft w:val="274"/>
          <w:marRight w:val="0"/>
          <w:marTop w:val="0"/>
          <w:marBottom w:val="0"/>
          <w:divBdr>
            <w:top w:val="none" w:sz="0" w:space="0" w:color="auto"/>
            <w:left w:val="none" w:sz="0" w:space="0" w:color="auto"/>
            <w:bottom w:val="none" w:sz="0" w:space="0" w:color="auto"/>
            <w:right w:val="none" w:sz="0" w:space="0" w:color="auto"/>
          </w:divBdr>
        </w:div>
        <w:div w:id="1342967787">
          <w:marLeft w:val="274"/>
          <w:marRight w:val="0"/>
          <w:marTop w:val="0"/>
          <w:marBottom w:val="0"/>
          <w:divBdr>
            <w:top w:val="none" w:sz="0" w:space="0" w:color="auto"/>
            <w:left w:val="none" w:sz="0" w:space="0" w:color="auto"/>
            <w:bottom w:val="none" w:sz="0" w:space="0" w:color="auto"/>
            <w:right w:val="none" w:sz="0" w:space="0" w:color="auto"/>
          </w:divBdr>
        </w:div>
      </w:divsChild>
    </w:div>
    <w:div w:id="911281925">
      <w:bodyDiv w:val="1"/>
      <w:marLeft w:val="0"/>
      <w:marRight w:val="0"/>
      <w:marTop w:val="0"/>
      <w:marBottom w:val="0"/>
      <w:divBdr>
        <w:top w:val="none" w:sz="0" w:space="0" w:color="auto"/>
        <w:left w:val="none" w:sz="0" w:space="0" w:color="auto"/>
        <w:bottom w:val="none" w:sz="0" w:space="0" w:color="auto"/>
        <w:right w:val="none" w:sz="0" w:space="0" w:color="auto"/>
      </w:divBdr>
    </w:div>
    <w:div w:id="936861428">
      <w:bodyDiv w:val="1"/>
      <w:marLeft w:val="0"/>
      <w:marRight w:val="0"/>
      <w:marTop w:val="0"/>
      <w:marBottom w:val="0"/>
      <w:divBdr>
        <w:top w:val="none" w:sz="0" w:space="0" w:color="auto"/>
        <w:left w:val="none" w:sz="0" w:space="0" w:color="auto"/>
        <w:bottom w:val="none" w:sz="0" w:space="0" w:color="auto"/>
        <w:right w:val="none" w:sz="0" w:space="0" w:color="auto"/>
      </w:divBdr>
    </w:div>
    <w:div w:id="939606198">
      <w:bodyDiv w:val="1"/>
      <w:marLeft w:val="0"/>
      <w:marRight w:val="0"/>
      <w:marTop w:val="0"/>
      <w:marBottom w:val="0"/>
      <w:divBdr>
        <w:top w:val="none" w:sz="0" w:space="0" w:color="auto"/>
        <w:left w:val="none" w:sz="0" w:space="0" w:color="auto"/>
        <w:bottom w:val="none" w:sz="0" w:space="0" w:color="auto"/>
        <w:right w:val="none" w:sz="0" w:space="0" w:color="auto"/>
      </w:divBdr>
      <w:divsChild>
        <w:div w:id="1957057573">
          <w:marLeft w:val="274"/>
          <w:marRight w:val="0"/>
          <w:marTop w:val="0"/>
          <w:marBottom w:val="0"/>
          <w:divBdr>
            <w:top w:val="none" w:sz="0" w:space="0" w:color="auto"/>
            <w:left w:val="none" w:sz="0" w:space="0" w:color="auto"/>
            <w:bottom w:val="none" w:sz="0" w:space="0" w:color="auto"/>
            <w:right w:val="none" w:sz="0" w:space="0" w:color="auto"/>
          </w:divBdr>
        </w:div>
        <w:div w:id="929705002">
          <w:marLeft w:val="274"/>
          <w:marRight w:val="0"/>
          <w:marTop w:val="0"/>
          <w:marBottom w:val="0"/>
          <w:divBdr>
            <w:top w:val="none" w:sz="0" w:space="0" w:color="auto"/>
            <w:left w:val="none" w:sz="0" w:space="0" w:color="auto"/>
            <w:bottom w:val="none" w:sz="0" w:space="0" w:color="auto"/>
            <w:right w:val="none" w:sz="0" w:space="0" w:color="auto"/>
          </w:divBdr>
        </w:div>
        <w:div w:id="70585743">
          <w:marLeft w:val="274"/>
          <w:marRight w:val="0"/>
          <w:marTop w:val="0"/>
          <w:marBottom w:val="0"/>
          <w:divBdr>
            <w:top w:val="none" w:sz="0" w:space="0" w:color="auto"/>
            <w:left w:val="none" w:sz="0" w:space="0" w:color="auto"/>
            <w:bottom w:val="none" w:sz="0" w:space="0" w:color="auto"/>
            <w:right w:val="none" w:sz="0" w:space="0" w:color="auto"/>
          </w:divBdr>
        </w:div>
        <w:div w:id="518390509">
          <w:marLeft w:val="274"/>
          <w:marRight w:val="0"/>
          <w:marTop w:val="0"/>
          <w:marBottom w:val="0"/>
          <w:divBdr>
            <w:top w:val="none" w:sz="0" w:space="0" w:color="auto"/>
            <w:left w:val="none" w:sz="0" w:space="0" w:color="auto"/>
            <w:bottom w:val="none" w:sz="0" w:space="0" w:color="auto"/>
            <w:right w:val="none" w:sz="0" w:space="0" w:color="auto"/>
          </w:divBdr>
        </w:div>
      </w:divsChild>
    </w:div>
    <w:div w:id="1110784648">
      <w:bodyDiv w:val="1"/>
      <w:marLeft w:val="0"/>
      <w:marRight w:val="0"/>
      <w:marTop w:val="0"/>
      <w:marBottom w:val="0"/>
      <w:divBdr>
        <w:top w:val="none" w:sz="0" w:space="0" w:color="auto"/>
        <w:left w:val="none" w:sz="0" w:space="0" w:color="auto"/>
        <w:bottom w:val="none" w:sz="0" w:space="0" w:color="auto"/>
        <w:right w:val="none" w:sz="0" w:space="0" w:color="auto"/>
      </w:divBdr>
    </w:div>
    <w:div w:id="1123502687">
      <w:bodyDiv w:val="1"/>
      <w:marLeft w:val="0"/>
      <w:marRight w:val="0"/>
      <w:marTop w:val="0"/>
      <w:marBottom w:val="0"/>
      <w:divBdr>
        <w:top w:val="none" w:sz="0" w:space="0" w:color="auto"/>
        <w:left w:val="none" w:sz="0" w:space="0" w:color="auto"/>
        <w:bottom w:val="none" w:sz="0" w:space="0" w:color="auto"/>
        <w:right w:val="none" w:sz="0" w:space="0" w:color="auto"/>
      </w:divBdr>
    </w:div>
    <w:div w:id="1126657643">
      <w:bodyDiv w:val="1"/>
      <w:marLeft w:val="0"/>
      <w:marRight w:val="0"/>
      <w:marTop w:val="0"/>
      <w:marBottom w:val="0"/>
      <w:divBdr>
        <w:top w:val="none" w:sz="0" w:space="0" w:color="auto"/>
        <w:left w:val="none" w:sz="0" w:space="0" w:color="auto"/>
        <w:bottom w:val="none" w:sz="0" w:space="0" w:color="auto"/>
        <w:right w:val="none" w:sz="0" w:space="0" w:color="auto"/>
      </w:divBdr>
    </w:div>
    <w:div w:id="1235050146">
      <w:bodyDiv w:val="1"/>
      <w:marLeft w:val="0"/>
      <w:marRight w:val="0"/>
      <w:marTop w:val="0"/>
      <w:marBottom w:val="0"/>
      <w:divBdr>
        <w:top w:val="none" w:sz="0" w:space="0" w:color="auto"/>
        <w:left w:val="none" w:sz="0" w:space="0" w:color="auto"/>
        <w:bottom w:val="none" w:sz="0" w:space="0" w:color="auto"/>
        <w:right w:val="none" w:sz="0" w:space="0" w:color="auto"/>
      </w:divBdr>
    </w:div>
    <w:div w:id="1258951938">
      <w:bodyDiv w:val="1"/>
      <w:marLeft w:val="0"/>
      <w:marRight w:val="0"/>
      <w:marTop w:val="0"/>
      <w:marBottom w:val="0"/>
      <w:divBdr>
        <w:top w:val="none" w:sz="0" w:space="0" w:color="auto"/>
        <w:left w:val="none" w:sz="0" w:space="0" w:color="auto"/>
        <w:bottom w:val="none" w:sz="0" w:space="0" w:color="auto"/>
        <w:right w:val="none" w:sz="0" w:space="0" w:color="auto"/>
      </w:divBdr>
      <w:divsChild>
        <w:div w:id="2002197966">
          <w:marLeft w:val="274"/>
          <w:marRight w:val="0"/>
          <w:marTop w:val="0"/>
          <w:marBottom w:val="0"/>
          <w:divBdr>
            <w:top w:val="none" w:sz="0" w:space="0" w:color="auto"/>
            <w:left w:val="none" w:sz="0" w:space="0" w:color="auto"/>
            <w:bottom w:val="none" w:sz="0" w:space="0" w:color="auto"/>
            <w:right w:val="none" w:sz="0" w:space="0" w:color="auto"/>
          </w:divBdr>
        </w:div>
        <w:div w:id="1651598752">
          <w:marLeft w:val="274"/>
          <w:marRight w:val="0"/>
          <w:marTop w:val="0"/>
          <w:marBottom w:val="0"/>
          <w:divBdr>
            <w:top w:val="none" w:sz="0" w:space="0" w:color="auto"/>
            <w:left w:val="none" w:sz="0" w:space="0" w:color="auto"/>
            <w:bottom w:val="none" w:sz="0" w:space="0" w:color="auto"/>
            <w:right w:val="none" w:sz="0" w:space="0" w:color="auto"/>
          </w:divBdr>
        </w:div>
        <w:div w:id="2100053734">
          <w:marLeft w:val="274"/>
          <w:marRight w:val="0"/>
          <w:marTop w:val="0"/>
          <w:marBottom w:val="0"/>
          <w:divBdr>
            <w:top w:val="none" w:sz="0" w:space="0" w:color="auto"/>
            <w:left w:val="none" w:sz="0" w:space="0" w:color="auto"/>
            <w:bottom w:val="none" w:sz="0" w:space="0" w:color="auto"/>
            <w:right w:val="none" w:sz="0" w:space="0" w:color="auto"/>
          </w:divBdr>
        </w:div>
        <w:div w:id="924147507">
          <w:marLeft w:val="274"/>
          <w:marRight w:val="0"/>
          <w:marTop w:val="0"/>
          <w:marBottom w:val="0"/>
          <w:divBdr>
            <w:top w:val="none" w:sz="0" w:space="0" w:color="auto"/>
            <w:left w:val="none" w:sz="0" w:space="0" w:color="auto"/>
            <w:bottom w:val="none" w:sz="0" w:space="0" w:color="auto"/>
            <w:right w:val="none" w:sz="0" w:space="0" w:color="auto"/>
          </w:divBdr>
        </w:div>
        <w:div w:id="2022969740">
          <w:marLeft w:val="274"/>
          <w:marRight w:val="0"/>
          <w:marTop w:val="0"/>
          <w:marBottom w:val="0"/>
          <w:divBdr>
            <w:top w:val="none" w:sz="0" w:space="0" w:color="auto"/>
            <w:left w:val="none" w:sz="0" w:space="0" w:color="auto"/>
            <w:bottom w:val="none" w:sz="0" w:space="0" w:color="auto"/>
            <w:right w:val="none" w:sz="0" w:space="0" w:color="auto"/>
          </w:divBdr>
        </w:div>
        <w:div w:id="1647316511">
          <w:marLeft w:val="274"/>
          <w:marRight w:val="0"/>
          <w:marTop w:val="0"/>
          <w:marBottom w:val="0"/>
          <w:divBdr>
            <w:top w:val="none" w:sz="0" w:space="0" w:color="auto"/>
            <w:left w:val="none" w:sz="0" w:space="0" w:color="auto"/>
            <w:bottom w:val="none" w:sz="0" w:space="0" w:color="auto"/>
            <w:right w:val="none" w:sz="0" w:space="0" w:color="auto"/>
          </w:divBdr>
        </w:div>
      </w:divsChild>
    </w:div>
    <w:div w:id="1325163374">
      <w:bodyDiv w:val="1"/>
      <w:marLeft w:val="0"/>
      <w:marRight w:val="0"/>
      <w:marTop w:val="0"/>
      <w:marBottom w:val="0"/>
      <w:divBdr>
        <w:top w:val="none" w:sz="0" w:space="0" w:color="auto"/>
        <w:left w:val="none" w:sz="0" w:space="0" w:color="auto"/>
        <w:bottom w:val="none" w:sz="0" w:space="0" w:color="auto"/>
        <w:right w:val="none" w:sz="0" w:space="0" w:color="auto"/>
      </w:divBdr>
    </w:div>
    <w:div w:id="1345471340">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729450184">
      <w:bodyDiv w:val="1"/>
      <w:marLeft w:val="0"/>
      <w:marRight w:val="0"/>
      <w:marTop w:val="0"/>
      <w:marBottom w:val="0"/>
      <w:divBdr>
        <w:top w:val="none" w:sz="0" w:space="0" w:color="auto"/>
        <w:left w:val="none" w:sz="0" w:space="0" w:color="auto"/>
        <w:bottom w:val="none" w:sz="0" w:space="0" w:color="auto"/>
        <w:right w:val="none" w:sz="0" w:space="0" w:color="auto"/>
      </w:divBdr>
    </w:div>
    <w:div w:id="1916238839">
      <w:bodyDiv w:val="1"/>
      <w:marLeft w:val="0"/>
      <w:marRight w:val="0"/>
      <w:marTop w:val="0"/>
      <w:marBottom w:val="0"/>
      <w:divBdr>
        <w:top w:val="none" w:sz="0" w:space="0" w:color="auto"/>
        <w:left w:val="none" w:sz="0" w:space="0" w:color="auto"/>
        <w:bottom w:val="none" w:sz="0" w:space="0" w:color="auto"/>
        <w:right w:val="none" w:sz="0" w:space="0" w:color="auto"/>
      </w:divBdr>
      <w:divsChild>
        <w:div w:id="76025592">
          <w:marLeft w:val="274"/>
          <w:marRight w:val="0"/>
          <w:marTop w:val="0"/>
          <w:marBottom w:val="0"/>
          <w:divBdr>
            <w:top w:val="none" w:sz="0" w:space="0" w:color="auto"/>
            <w:left w:val="none" w:sz="0" w:space="0" w:color="auto"/>
            <w:bottom w:val="none" w:sz="0" w:space="0" w:color="auto"/>
            <w:right w:val="none" w:sz="0" w:space="0" w:color="auto"/>
          </w:divBdr>
        </w:div>
        <w:div w:id="708410882">
          <w:marLeft w:val="274"/>
          <w:marRight w:val="0"/>
          <w:marTop w:val="0"/>
          <w:marBottom w:val="0"/>
          <w:divBdr>
            <w:top w:val="none" w:sz="0" w:space="0" w:color="auto"/>
            <w:left w:val="none" w:sz="0" w:space="0" w:color="auto"/>
            <w:bottom w:val="none" w:sz="0" w:space="0" w:color="auto"/>
            <w:right w:val="none" w:sz="0" w:space="0" w:color="auto"/>
          </w:divBdr>
        </w:div>
        <w:div w:id="446124153">
          <w:marLeft w:val="274"/>
          <w:marRight w:val="0"/>
          <w:marTop w:val="0"/>
          <w:marBottom w:val="0"/>
          <w:divBdr>
            <w:top w:val="none" w:sz="0" w:space="0" w:color="auto"/>
            <w:left w:val="none" w:sz="0" w:space="0" w:color="auto"/>
            <w:bottom w:val="none" w:sz="0" w:space="0" w:color="auto"/>
            <w:right w:val="none" w:sz="0" w:space="0" w:color="auto"/>
          </w:divBdr>
        </w:div>
        <w:div w:id="1105224721">
          <w:marLeft w:val="274"/>
          <w:marRight w:val="0"/>
          <w:marTop w:val="0"/>
          <w:marBottom w:val="0"/>
          <w:divBdr>
            <w:top w:val="none" w:sz="0" w:space="0" w:color="auto"/>
            <w:left w:val="none" w:sz="0" w:space="0" w:color="auto"/>
            <w:bottom w:val="none" w:sz="0" w:space="0" w:color="auto"/>
            <w:right w:val="none" w:sz="0" w:space="0" w:color="auto"/>
          </w:divBdr>
        </w:div>
        <w:div w:id="1578977520">
          <w:marLeft w:val="274"/>
          <w:marRight w:val="0"/>
          <w:marTop w:val="0"/>
          <w:marBottom w:val="0"/>
          <w:divBdr>
            <w:top w:val="none" w:sz="0" w:space="0" w:color="auto"/>
            <w:left w:val="none" w:sz="0" w:space="0" w:color="auto"/>
            <w:bottom w:val="none" w:sz="0" w:space="0" w:color="auto"/>
            <w:right w:val="none" w:sz="0" w:space="0" w:color="auto"/>
          </w:divBdr>
        </w:div>
        <w:div w:id="1964577212">
          <w:marLeft w:val="274"/>
          <w:marRight w:val="0"/>
          <w:marTop w:val="0"/>
          <w:marBottom w:val="0"/>
          <w:divBdr>
            <w:top w:val="none" w:sz="0" w:space="0" w:color="auto"/>
            <w:left w:val="none" w:sz="0" w:space="0" w:color="auto"/>
            <w:bottom w:val="none" w:sz="0" w:space="0" w:color="auto"/>
            <w:right w:val="none" w:sz="0" w:space="0" w:color="auto"/>
          </w:divBdr>
        </w:div>
        <w:div w:id="1149788481">
          <w:marLeft w:val="274"/>
          <w:marRight w:val="0"/>
          <w:marTop w:val="0"/>
          <w:marBottom w:val="0"/>
          <w:divBdr>
            <w:top w:val="none" w:sz="0" w:space="0" w:color="auto"/>
            <w:left w:val="none" w:sz="0" w:space="0" w:color="auto"/>
            <w:bottom w:val="none" w:sz="0" w:space="0" w:color="auto"/>
            <w:right w:val="none" w:sz="0" w:space="0" w:color="auto"/>
          </w:divBdr>
        </w:div>
        <w:div w:id="729040744">
          <w:marLeft w:val="274"/>
          <w:marRight w:val="0"/>
          <w:marTop w:val="0"/>
          <w:marBottom w:val="0"/>
          <w:divBdr>
            <w:top w:val="none" w:sz="0" w:space="0" w:color="auto"/>
            <w:left w:val="none" w:sz="0" w:space="0" w:color="auto"/>
            <w:bottom w:val="none" w:sz="0" w:space="0" w:color="auto"/>
            <w:right w:val="none" w:sz="0" w:space="0" w:color="auto"/>
          </w:divBdr>
        </w:div>
      </w:divsChild>
    </w:div>
    <w:div w:id="19949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nt.gov.au/publications/policies/privacy-policy"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CEI.DITT@n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CEI.DITT@nt.gov.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nt.gov.au/industry/procurement/how-procurement-works/buy-local-plan" TargetMode="External"/><Relationship Id="rId4" Type="http://schemas.openxmlformats.org/officeDocument/2006/relationships/styles" Target="styles.xml"/><Relationship Id="rId9" Type="http://schemas.openxmlformats.org/officeDocument/2006/relationships/hyperlink" Target="http://www.nt.gov.a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2023-10-02T00:00:00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99B2F-E049-47CB-B811-8735920C6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4736</Words>
  <Characters>26996</Characters>
  <Application>Microsoft Office Word</Application>
  <DocSecurity>2</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Industry, Tourism and Trade</Company>
  <LinksUpToDate>false</LinksUpToDate>
  <CharactersWithSpaces>31669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Northern Territory Government</dc:creator>
  <cp:lastModifiedBy>Vanessa Madrill</cp:lastModifiedBy>
  <cp:revision>2</cp:revision>
  <cp:lastPrinted>2023-09-29T02:51:00Z</cp:lastPrinted>
  <dcterms:created xsi:type="dcterms:W3CDTF">2023-12-12T23:34:00Z</dcterms:created>
  <dcterms:modified xsi:type="dcterms:W3CDTF">2023-12-12T23:34:00Z</dcterms:modified>
</cp:coreProperties>
</file>