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2607E936DC04486298A48E9B11E4A403"/>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0D086C" w:rsidRDefault="005D19FE" w:rsidP="00886C9D">
          <w:pPr>
            <w:pStyle w:val="Title"/>
          </w:pPr>
          <w:r w:rsidRPr="000D086C">
            <w:rPr>
              <w:rStyle w:val="TitleChar"/>
            </w:rPr>
            <w:t>Induced Seismicity Management Guideline 2022</w:t>
          </w:r>
        </w:p>
      </w:sdtContent>
    </w:sdt>
    <w:p w:rsidR="00DD64C2" w:rsidRPr="000D086C" w:rsidRDefault="002F070C" w:rsidP="001852AF">
      <w:pPr>
        <w:pStyle w:val="Subtitle0"/>
      </w:pPr>
      <w:r w:rsidRPr="002F070C">
        <w:t>21</w:t>
      </w:r>
      <w:r w:rsidR="00F00CC6" w:rsidRPr="002F070C">
        <w:t xml:space="preserve"> December </w:t>
      </w:r>
      <w:r w:rsidR="005D19FE" w:rsidRPr="002F070C">
        <w:t>2022</w:t>
      </w:r>
    </w:p>
    <w:p w:rsidR="005D19FE" w:rsidRPr="000D086C" w:rsidRDefault="005D19FE" w:rsidP="001852AF">
      <w:pPr>
        <w:pStyle w:val="Subtitle0"/>
      </w:pPr>
      <w:r w:rsidRPr="000D086C">
        <w:t>Version 0.</w:t>
      </w:r>
      <w:r w:rsidR="00F00CC6">
        <w:t>1</w:t>
      </w:r>
    </w:p>
    <w:p w:rsidR="00964B22" w:rsidRPr="000D086C" w:rsidRDefault="00964B22" w:rsidP="00DD64C2">
      <w:pPr>
        <w:tabs>
          <w:tab w:val="center" w:pos="4819"/>
        </w:tabs>
      </w:pPr>
    </w:p>
    <w:p w:rsidR="007761D8" w:rsidRPr="000D086C" w:rsidRDefault="007761D8" w:rsidP="00885590">
      <w:pPr>
        <w:sectPr w:rsidR="007761D8" w:rsidRPr="000D086C"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Document approval summary table"/>
        <w:tblDescription w:val="This table sets out information relating to the approval and revision requirements for this document."/>
      </w:tblPr>
      <w:tblGrid>
        <w:gridCol w:w="2410"/>
        <w:gridCol w:w="7938"/>
      </w:tblGrid>
      <w:tr w:rsidR="005D19FE" w:rsidRPr="000D086C" w:rsidTr="00AD42B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5D19FE" w:rsidRPr="000D086C" w:rsidRDefault="005D19FE" w:rsidP="005D19FE">
            <w:pPr>
              <w:rPr>
                <w:b/>
              </w:rPr>
            </w:pPr>
            <w:r w:rsidRPr="000D086C">
              <w:rPr>
                <w:b/>
              </w:rPr>
              <w:lastRenderedPageBreak/>
              <w:t>Document title</w:t>
            </w:r>
          </w:p>
        </w:tc>
        <w:tc>
          <w:tcPr>
            <w:tcW w:w="7938" w:type="dxa"/>
            <w:vAlign w:val="top"/>
          </w:tcPr>
          <w:p w:rsidR="005D19FE" w:rsidRPr="000D086C" w:rsidRDefault="005D19FE" w:rsidP="005D19FE">
            <w:pPr>
              <w:cnfStyle w:val="000000000000" w:firstRow="0" w:lastRow="0" w:firstColumn="0" w:lastColumn="0" w:oddVBand="0" w:evenVBand="0" w:oddHBand="0" w:evenHBand="0" w:firstRowFirstColumn="0" w:firstRowLastColumn="0" w:lastRowFirstColumn="0" w:lastRowLastColumn="0"/>
            </w:pPr>
            <w:r w:rsidRPr="000D086C">
              <w:t>Induced Seismicity Management Guideline 2022</w:t>
            </w:r>
          </w:p>
        </w:tc>
      </w:tr>
      <w:tr w:rsidR="005D19FE" w:rsidRPr="000D086C" w:rsidTr="00AD42B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5D19FE" w:rsidRPr="000D086C" w:rsidRDefault="005D19FE" w:rsidP="005D19FE">
            <w:pPr>
              <w:rPr>
                <w:b/>
              </w:rPr>
            </w:pPr>
            <w:r w:rsidRPr="000D086C">
              <w:rPr>
                <w:b/>
              </w:rPr>
              <w:t>Contact details</w:t>
            </w:r>
          </w:p>
        </w:tc>
        <w:tc>
          <w:tcPr>
            <w:tcW w:w="7938" w:type="dxa"/>
            <w:vAlign w:val="top"/>
          </w:tcPr>
          <w:p w:rsidR="005D19FE" w:rsidRPr="000D086C" w:rsidRDefault="005D19FE" w:rsidP="005D19FE">
            <w:pPr>
              <w:cnfStyle w:val="000000010000" w:firstRow="0" w:lastRow="0" w:firstColumn="0" w:lastColumn="0" w:oddVBand="0" w:evenVBand="0" w:oddHBand="0" w:evenHBand="1" w:firstRowFirstColumn="0" w:firstRowLastColumn="0" w:lastRowFirstColumn="0" w:lastRowLastColumn="0"/>
            </w:pPr>
            <w:r w:rsidRPr="000D086C">
              <w:t>Petroleum Operations  (08) 8999 5388</w:t>
            </w:r>
          </w:p>
        </w:tc>
      </w:tr>
      <w:tr w:rsidR="005D19FE" w:rsidRPr="000D086C" w:rsidTr="00AD42B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5D19FE" w:rsidRPr="000D086C" w:rsidRDefault="005D19FE" w:rsidP="005D19FE">
            <w:pPr>
              <w:rPr>
                <w:b/>
              </w:rPr>
            </w:pPr>
            <w:r w:rsidRPr="000D086C">
              <w:rPr>
                <w:b/>
              </w:rPr>
              <w:t>Approved by</w:t>
            </w:r>
          </w:p>
        </w:tc>
        <w:tc>
          <w:tcPr>
            <w:tcW w:w="7938" w:type="dxa"/>
            <w:vAlign w:val="top"/>
          </w:tcPr>
          <w:p w:rsidR="005D19FE" w:rsidRPr="000D086C" w:rsidRDefault="005D19FE" w:rsidP="005D19FE">
            <w:pPr>
              <w:cnfStyle w:val="000000000000" w:firstRow="0" w:lastRow="0" w:firstColumn="0" w:lastColumn="0" w:oddVBand="0" w:evenVBand="0" w:oddHBand="0" w:evenHBand="0" w:firstRowFirstColumn="0" w:firstRowLastColumn="0" w:lastRowFirstColumn="0" w:lastRowLastColumn="0"/>
            </w:pPr>
            <w:r w:rsidRPr="000D086C">
              <w:t>Senior Executive Director</w:t>
            </w:r>
            <w:r w:rsidR="00180610">
              <w:t>,</w:t>
            </w:r>
            <w:r w:rsidRPr="000D086C">
              <w:t xml:space="preserve"> Energy Development</w:t>
            </w:r>
            <w:r w:rsidR="00180610">
              <w:t>, Department of Industry, Tourism and Trade</w:t>
            </w:r>
          </w:p>
        </w:tc>
      </w:tr>
      <w:tr w:rsidR="005D19FE" w:rsidRPr="000D086C" w:rsidTr="00AD42B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5D19FE" w:rsidRPr="00FD42DE" w:rsidRDefault="005D19FE" w:rsidP="005D19FE">
            <w:pPr>
              <w:rPr>
                <w:b/>
                <w:highlight w:val="yellow"/>
              </w:rPr>
            </w:pPr>
            <w:r w:rsidRPr="002F070C">
              <w:rPr>
                <w:b/>
              </w:rPr>
              <w:t>Date approved</w:t>
            </w:r>
          </w:p>
        </w:tc>
        <w:tc>
          <w:tcPr>
            <w:tcW w:w="7938" w:type="dxa"/>
            <w:vAlign w:val="top"/>
          </w:tcPr>
          <w:p w:rsidR="005D19FE" w:rsidRPr="00FD42DE" w:rsidRDefault="002F070C" w:rsidP="005D19FE">
            <w:pPr>
              <w:cnfStyle w:val="000000010000" w:firstRow="0" w:lastRow="0" w:firstColumn="0" w:lastColumn="0" w:oddVBand="0" w:evenVBand="0" w:oddHBand="0" w:evenHBand="1" w:firstRowFirstColumn="0" w:firstRowLastColumn="0" w:lastRowFirstColumn="0" w:lastRowLastColumn="0"/>
              <w:rPr>
                <w:highlight w:val="yellow"/>
              </w:rPr>
            </w:pPr>
            <w:r w:rsidRPr="002F070C">
              <w:t>21</w:t>
            </w:r>
            <w:r w:rsidR="00F00CC6" w:rsidRPr="002F070C">
              <w:t xml:space="preserve"> December 2022</w:t>
            </w:r>
          </w:p>
        </w:tc>
      </w:tr>
      <w:tr w:rsidR="005D19FE" w:rsidRPr="000D086C" w:rsidTr="00AD42B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5D19FE" w:rsidRPr="000D086C" w:rsidRDefault="005D19FE" w:rsidP="005D19FE">
            <w:pPr>
              <w:rPr>
                <w:b/>
              </w:rPr>
            </w:pPr>
            <w:r w:rsidRPr="000D086C">
              <w:rPr>
                <w:b/>
              </w:rPr>
              <w:t>Document review</w:t>
            </w:r>
          </w:p>
        </w:tc>
        <w:tc>
          <w:tcPr>
            <w:tcW w:w="7938" w:type="dxa"/>
            <w:vAlign w:val="top"/>
          </w:tcPr>
          <w:p w:rsidR="005D19FE" w:rsidRPr="000D086C" w:rsidRDefault="005D19FE" w:rsidP="005D19FE">
            <w:pPr>
              <w:cnfStyle w:val="000000000000" w:firstRow="0" w:lastRow="0" w:firstColumn="0" w:lastColumn="0" w:oddVBand="0" w:evenVBand="0" w:oddHBand="0" w:evenHBand="0" w:firstRowFirstColumn="0" w:firstRowLastColumn="0" w:lastRowFirstColumn="0" w:lastRowLastColumn="0"/>
            </w:pPr>
            <w:r w:rsidRPr="000D086C">
              <w:t>Annually</w:t>
            </w:r>
          </w:p>
        </w:tc>
      </w:tr>
    </w:tbl>
    <w:p w:rsidR="003223FE" w:rsidRPr="000D086C" w:rsidRDefault="003223FE" w:rsidP="00702D61"/>
    <w:tbl>
      <w:tblPr>
        <w:tblStyle w:val="NTGtable1"/>
        <w:tblW w:w="10343" w:type="dxa"/>
        <w:tblLayout w:type="fixed"/>
        <w:tblLook w:val="0120" w:firstRow="1" w:lastRow="0" w:firstColumn="0" w:lastColumn="1" w:noHBand="0" w:noVBand="0"/>
        <w:tblCaption w:val="Version control table"/>
        <w:tblDescription w:val="This table documents the version history of the Induced Seismicity Guideline 2022"/>
      </w:tblPr>
      <w:tblGrid>
        <w:gridCol w:w="1129"/>
        <w:gridCol w:w="2268"/>
        <w:gridCol w:w="2552"/>
        <w:gridCol w:w="4394"/>
      </w:tblGrid>
      <w:tr w:rsidR="003223FE" w:rsidRPr="000D086C"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0D086C" w:rsidRDefault="003223FE" w:rsidP="007B59D3">
            <w:r w:rsidRPr="000D086C">
              <w:rPr>
                <w:w w:val="105"/>
              </w:rPr>
              <w:t>Version</w:t>
            </w:r>
          </w:p>
        </w:tc>
        <w:tc>
          <w:tcPr>
            <w:tcW w:w="2268" w:type="dxa"/>
          </w:tcPr>
          <w:p w:rsidR="003223FE" w:rsidRPr="000D086C" w:rsidRDefault="003223FE" w:rsidP="007B59D3">
            <w:r w:rsidRPr="000D086C">
              <w:rPr>
                <w:w w:val="105"/>
              </w:rPr>
              <w:t>Date</w:t>
            </w:r>
          </w:p>
        </w:tc>
        <w:tc>
          <w:tcPr>
            <w:tcW w:w="2552" w:type="dxa"/>
          </w:tcPr>
          <w:p w:rsidR="003223FE" w:rsidRPr="000D086C" w:rsidRDefault="003223FE" w:rsidP="007B59D3">
            <w:r w:rsidRPr="000D086C">
              <w:rPr>
                <w:w w:val="105"/>
              </w:rPr>
              <w:t>Author</w:t>
            </w:r>
          </w:p>
        </w:tc>
        <w:tc>
          <w:tcPr>
            <w:tcW w:w="4394" w:type="dxa"/>
          </w:tcPr>
          <w:p w:rsidR="003223FE" w:rsidRPr="000D086C" w:rsidRDefault="003223FE" w:rsidP="007B59D3">
            <w:r w:rsidRPr="000D086C">
              <w:t>Changes made</w:t>
            </w:r>
          </w:p>
        </w:tc>
      </w:tr>
      <w:tr w:rsidR="005D19FE" w:rsidRPr="000D086C" w:rsidTr="00A71E1C">
        <w:trPr>
          <w:trHeight w:val="431"/>
        </w:trPr>
        <w:tc>
          <w:tcPr>
            <w:tcW w:w="1129" w:type="dxa"/>
          </w:tcPr>
          <w:p w:rsidR="005D19FE" w:rsidRPr="000D086C" w:rsidRDefault="005D19FE" w:rsidP="005D19FE">
            <w:r w:rsidRPr="000D086C">
              <w:t>0.1</w:t>
            </w:r>
          </w:p>
        </w:tc>
        <w:tc>
          <w:tcPr>
            <w:tcW w:w="2268" w:type="dxa"/>
          </w:tcPr>
          <w:p w:rsidR="005D19FE" w:rsidRPr="000D086C" w:rsidRDefault="002F070C" w:rsidP="005D19FE">
            <w:r>
              <w:t>21</w:t>
            </w:r>
            <w:r w:rsidR="00F00CC6">
              <w:t xml:space="preserve"> December 2022</w:t>
            </w:r>
          </w:p>
        </w:tc>
        <w:tc>
          <w:tcPr>
            <w:tcW w:w="2552" w:type="dxa"/>
          </w:tcPr>
          <w:p w:rsidR="005D19FE" w:rsidRPr="000D086C" w:rsidRDefault="00F00CC6" w:rsidP="005D19FE">
            <w:r>
              <w:t>Petroleum Operations</w:t>
            </w:r>
            <w:r w:rsidR="002F070C">
              <w:t xml:space="preserve"> and Onshore Gas Development</w:t>
            </w:r>
          </w:p>
        </w:tc>
        <w:tc>
          <w:tcPr>
            <w:tcW w:w="4394" w:type="dxa"/>
          </w:tcPr>
          <w:p w:rsidR="005D19FE" w:rsidRPr="000D086C" w:rsidRDefault="005D19FE" w:rsidP="00F00CC6">
            <w:r w:rsidRPr="000D086C">
              <w:t xml:space="preserve">Initial </w:t>
            </w:r>
            <w:r w:rsidR="00F00CC6">
              <w:t>Guideline</w:t>
            </w:r>
          </w:p>
        </w:tc>
      </w:tr>
    </w:tbl>
    <w:p w:rsidR="003223FE" w:rsidRPr="000D086C" w:rsidRDefault="003223FE" w:rsidP="00702D61"/>
    <w:tbl>
      <w:tblPr>
        <w:tblStyle w:val="NTGtable1"/>
        <w:tblW w:w="10343" w:type="dxa"/>
        <w:tblLayout w:type="fixed"/>
        <w:tblLook w:val="0120" w:firstRow="1" w:lastRow="0" w:firstColumn="0" w:lastColumn="1" w:noHBand="0" w:noVBand="0"/>
        <w:tblCaption w:val="Acronym Table"/>
        <w:tblDescription w:val="This table sets out the acronyms used throughout this document."/>
      </w:tblPr>
      <w:tblGrid>
        <w:gridCol w:w="1980"/>
        <w:gridCol w:w="8363"/>
      </w:tblGrid>
      <w:tr w:rsidR="003223FE" w:rsidRPr="000D086C"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0D086C" w:rsidRDefault="003223FE" w:rsidP="007B59D3">
            <w:r w:rsidRPr="000D086C">
              <w:rPr>
                <w:w w:val="105"/>
              </w:rPr>
              <w:t>Acronyms</w:t>
            </w:r>
          </w:p>
        </w:tc>
        <w:tc>
          <w:tcPr>
            <w:tcW w:w="8363" w:type="dxa"/>
          </w:tcPr>
          <w:p w:rsidR="003223FE" w:rsidRPr="000D086C" w:rsidRDefault="003223FE" w:rsidP="007B59D3">
            <w:r w:rsidRPr="000D086C">
              <w:rPr>
                <w:w w:val="105"/>
              </w:rPr>
              <w:t>Full</w:t>
            </w:r>
            <w:r w:rsidRPr="000D086C">
              <w:rPr>
                <w:spacing w:val="-17"/>
                <w:w w:val="105"/>
              </w:rPr>
              <w:t xml:space="preserve"> </w:t>
            </w:r>
            <w:r w:rsidRPr="000D086C">
              <w:rPr>
                <w:w w:val="105"/>
              </w:rPr>
              <w:t>form</w:t>
            </w:r>
          </w:p>
        </w:tc>
      </w:tr>
      <w:tr w:rsidR="005F4D44" w:rsidRPr="000D086C" w:rsidTr="00AD42B9">
        <w:trPr>
          <w:trHeight w:val="431"/>
        </w:trPr>
        <w:tc>
          <w:tcPr>
            <w:tcW w:w="1980" w:type="dxa"/>
            <w:vAlign w:val="top"/>
          </w:tcPr>
          <w:p w:rsidR="005F4D44" w:rsidRPr="000D086C" w:rsidRDefault="005F4D44" w:rsidP="005D19FE">
            <w:r>
              <w:t>DITT</w:t>
            </w:r>
          </w:p>
        </w:tc>
        <w:tc>
          <w:tcPr>
            <w:tcW w:w="8363" w:type="dxa"/>
            <w:vAlign w:val="top"/>
          </w:tcPr>
          <w:p w:rsidR="005F4D44" w:rsidRPr="000D086C" w:rsidRDefault="005F4D44" w:rsidP="005D19FE">
            <w:r>
              <w:t>Department of Industry, Tourism and Trade</w:t>
            </w:r>
          </w:p>
        </w:tc>
      </w:tr>
      <w:tr w:rsidR="005D19FE" w:rsidRPr="000D086C" w:rsidTr="00AD42B9">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rsidR="005D19FE" w:rsidRPr="000D086C" w:rsidRDefault="005D19FE" w:rsidP="005D19FE">
            <w:r w:rsidRPr="000D086C">
              <w:t>ISMP</w:t>
            </w:r>
          </w:p>
        </w:tc>
        <w:tc>
          <w:tcPr>
            <w:tcW w:w="8363" w:type="dxa"/>
            <w:vAlign w:val="top"/>
          </w:tcPr>
          <w:p w:rsidR="005D19FE" w:rsidRPr="000D086C" w:rsidRDefault="005D19FE" w:rsidP="005D19FE">
            <w:r w:rsidRPr="000D086C">
              <w:t>Induced Seismicity Management Plan</w:t>
            </w:r>
          </w:p>
        </w:tc>
      </w:tr>
      <w:tr w:rsidR="005D19FE" w:rsidRPr="000D086C" w:rsidTr="00AD42B9">
        <w:trPr>
          <w:trHeight w:val="431"/>
        </w:trPr>
        <w:tc>
          <w:tcPr>
            <w:tcW w:w="1980" w:type="dxa"/>
            <w:tcBorders>
              <w:bottom w:val="nil"/>
            </w:tcBorders>
            <w:vAlign w:val="top"/>
          </w:tcPr>
          <w:p w:rsidR="005D19FE" w:rsidRPr="000D086C" w:rsidRDefault="005D19FE" w:rsidP="005D19FE">
            <w:r w:rsidRPr="000D086C">
              <w:t>PGA</w:t>
            </w:r>
          </w:p>
        </w:tc>
        <w:tc>
          <w:tcPr>
            <w:tcW w:w="8363" w:type="dxa"/>
            <w:tcBorders>
              <w:bottom w:val="nil"/>
            </w:tcBorders>
            <w:vAlign w:val="top"/>
          </w:tcPr>
          <w:p w:rsidR="005D19FE" w:rsidRPr="000D086C" w:rsidRDefault="005D19FE" w:rsidP="005D19FE">
            <w:r w:rsidRPr="000D086C">
              <w:t>Peak Ground Acceleration</w:t>
            </w:r>
          </w:p>
        </w:tc>
      </w:tr>
      <w:tr w:rsidR="005D19FE" w:rsidRPr="000D086C" w:rsidTr="00AD42B9">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rsidR="005D19FE" w:rsidRPr="000D086C" w:rsidRDefault="005D19FE" w:rsidP="005D19FE">
            <w:r w:rsidRPr="000D086C">
              <w:t>SEED</w:t>
            </w:r>
          </w:p>
        </w:tc>
        <w:tc>
          <w:tcPr>
            <w:tcW w:w="8363" w:type="dxa"/>
            <w:vAlign w:val="top"/>
          </w:tcPr>
          <w:p w:rsidR="005D19FE" w:rsidRPr="000D086C" w:rsidRDefault="005D19FE" w:rsidP="005D19FE">
            <w:r w:rsidRPr="000D086C">
              <w:t>Standard for the Exchange of Earthquake Data</w:t>
            </w:r>
          </w:p>
        </w:tc>
      </w:tr>
      <w:tr w:rsidR="005D19FE" w:rsidRPr="000D086C" w:rsidTr="00A71E1C">
        <w:trPr>
          <w:trHeight w:val="431"/>
        </w:trPr>
        <w:tc>
          <w:tcPr>
            <w:tcW w:w="1980" w:type="dxa"/>
          </w:tcPr>
          <w:p w:rsidR="005D19FE" w:rsidRPr="000D086C" w:rsidRDefault="005D19FE" w:rsidP="005D19FE">
            <w:r w:rsidRPr="000D086C">
              <w:t>TLS</w:t>
            </w:r>
          </w:p>
        </w:tc>
        <w:tc>
          <w:tcPr>
            <w:tcW w:w="8363" w:type="dxa"/>
          </w:tcPr>
          <w:p w:rsidR="005D19FE" w:rsidRPr="000D086C" w:rsidRDefault="005D19FE" w:rsidP="005D19FE">
            <w:r w:rsidRPr="000D086C">
              <w:t>Traffic Light System</w:t>
            </w:r>
          </w:p>
        </w:tc>
      </w:tr>
    </w:tbl>
    <w:p w:rsidR="005D19FE" w:rsidRPr="000D086C" w:rsidRDefault="005D19FE" w:rsidP="00702D61"/>
    <w:tbl>
      <w:tblPr>
        <w:tblStyle w:val="NTGtable1"/>
        <w:tblW w:w="10343" w:type="dxa"/>
        <w:tblLayout w:type="fixed"/>
        <w:tblLook w:val="0120" w:firstRow="1" w:lastRow="0" w:firstColumn="0" w:lastColumn="1" w:noHBand="0" w:noVBand="0"/>
        <w:tblCaption w:val="Glossary Table"/>
        <w:tblDescription w:val="This table defines technical terms used in the document."/>
      </w:tblPr>
      <w:tblGrid>
        <w:gridCol w:w="1980"/>
        <w:gridCol w:w="8363"/>
      </w:tblGrid>
      <w:tr w:rsidR="005D19FE" w:rsidRPr="000D086C" w:rsidTr="00AD42B9">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5D19FE" w:rsidRPr="000D086C" w:rsidRDefault="005D19FE" w:rsidP="00AD42B9">
            <w:r w:rsidRPr="000D086C">
              <w:rPr>
                <w:w w:val="105"/>
              </w:rPr>
              <w:t>Unit</w:t>
            </w:r>
          </w:p>
        </w:tc>
        <w:tc>
          <w:tcPr>
            <w:tcW w:w="8363" w:type="dxa"/>
          </w:tcPr>
          <w:p w:rsidR="005D19FE" w:rsidRPr="000D086C" w:rsidRDefault="005D19FE" w:rsidP="00AD42B9">
            <w:r w:rsidRPr="000D086C">
              <w:rPr>
                <w:w w:val="105"/>
              </w:rPr>
              <w:t>Definition</w:t>
            </w:r>
          </w:p>
        </w:tc>
      </w:tr>
      <w:tr w:rsidR="005D19FE" w:rsidRPr="000D086C" w:rsidTr="00AD42B9">
        <w:trPr>
          <w:trHeight w:val="431"/>
        </w:trPr>
        <w:tc>
          <w:tcPr>
            <w:tcW w:w="1980" w:type="dxa"/>
            <w:vAlign w:val="top"/>
          </w:tcPr>
          <w:p w:rsidR="005D19FE" w:rsidRPr="000D086C" w:rsidRDefault="005D19FE" w:rsidP="00AD42B9">
            <w:r w:rsidRPr="000D086C">
              <w:t>G or g</w:t>
            </w:r>
          </w:p>
        </w:tc>
        <w:tc>
          <w:tcPr>
            <w:tcW w:w="8363" w:type="dxa"/>
            <w:vAlign w:val="top"/>
          </w:tcPr>
          <w:p w:rsidR="005D19FE" w:rsidRPr="000D086C" w:rsidRDefault="005D19FE" w:rsidP="00AD42B9">
            <w:r w:rsidRPr="000D086C">
              <w:t>Gravity - Unit of peak horizontal or vertical ground acceleration</w:t>
            </w:r>
          </w:p>
          <w:p w:rsidR="005D19FE" w:rsidRPr="000D086C" w:rsidRDefault="005D19FE" w:rsidP="00AD42B9">
            <w:r w:rsidRPr="000D086C">
              <w:t>% may be used</w:t>
            </w:r>
          </w:p>
        </w:tc>
      </w:tr>
      <w:tr w:rsidR="005D19FE" w:rsidRPr="000D086C" w:rsidTr="00AD42B9">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rsidR="005D19FE" w:rsidRPr="000D086C" w:rsidRDefault="005D19FE" w:rsidP="00AD42B9">
            <w:r w:rsidRPr="000D086C">
              <w:t>Hz</w:t>
            </w:r>
          </w:p>
        </w:tc>
        <w:tc>
          <w:tcPr>
            <w:tcW w:w="8363" w:type="dxa"/>
            <w:tcBorders>
              <w:bottom w:val="nil"/>
            </w:tcBorders>
            <w:vAlign w:val="top"/>
          </w:tcPr>
          <w:p w:rsidR="005D19FE" w:rsidRPr="000D086C" w:rsidRDefault="005D19FE" w:rsidP="00AD42B9">
            <w:r w:rsidRPr="000D086C">
              <w:t>The frequency of a sound wave or a radio wave is the number of times it vibrates within a specified period of time. It is measured in hertz (Hz), an international unit of measure where 1 hertz is equal to 1 cycle per second.</w:t>
            </w:r>
          </w:p>
        </w:tc>
      </w:tr>
      <w:tr w:rsidR="005D19FE" w:rsidRPr="000D086C" w:rsidTr="00AD42B9">
        <w:trPr>
          <w:trHeight w:val="431"/>
        </w:trPr>
        <w:tc>
          <w:tcPr>
            <w:tcW w:w="1980" w:type="dxa"/>
            <w:vAlign w:val="top"/>
          </w:tcPr>
          <w:p w:rsidR="005D19FE" w:rsidRPr="000D086C" w:rsidRDefault="005D19FE" w:rsidP="00AD42B9">
            <w:r w:rsidRPr="000D086C">
              <w:t xml:space="preserve">PGA </w:t>
            </w:r>
          </w:p>
        </w:tc>
        <w:tc>
          <w:tcPr>
            <w:tcW w:w="8363" w:type="dxa"/>
            <w:vAlign w:val="top"/>
          </w:tcPr>
          <w:p w:rsidR="005D19FE" w:rsidRPr="000D086C" w:rsidRDefault="005D19FE" w:rsidP="00AD42B9">
            <w:r w:rsidRPr="000D086C">
              <w:t>Peak ground acceleration</w:t>
            </w:r>
            <w:r w:rsidRPr="000D086C">
              <w:rPr>
                <w:rFonts w:cs="Arial"/>
                <w:color w:val="202124"/>
                <w:shd w:val="clear" w:color="auto" w:fill="FFFFFF"/>
              </w:rPr>
              <w:t xml:space="preserve"> is equal to the maximum </w:t>
            </w:r>
            <w:r w:rsidRPr="000D086C">
              <w:rPr>
                <w:rFonts w:cs="Arial"/>
                <w:bCs/>
                <w:color w:val="202124"/>
              </w:rPr>
              <w:t>ground acceleration</w:t>
            </w:r>
            <w:r w:rsidRPr="000D086C">
              <w:rPr>
                <w:rFonts w:cs="Arial"/>
                <w:color w:val="202124"/>
                <w:shd w:val="clear" w:color="auto" w:fill="FFFFFF"/>
              </w:rPr>
              <w:t xml:space="preserve"> that occurred during earthquake shaking at a location.</w:t>
            </w:r>
          </w:p>
        </w:tc>
      </w:tr>
      <w:tr w:rsidR="005D19FE" w:rsidRPr="000D086C" w:rsidTr="00AD42B9">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rsidR="005D19FE" w:rsidRPr="000D086C" w:rsidRDefault="005D19FE" w:rsidP="00AD42B9">
            <w:r w:rsidRPr="000D086C">
              <w:rPr>
                <w:rFonts w:asciiTheme="minorHAnsi" w:hAnsiTheme="minorHAnsi" w:cstheme="minorHAnsi"/>
              </w:rPr>
              <w:t>MMI</w:t>
            </w:r>
          </w:p>
        </w:tc>
        <w:tc>
          <w:tcPr>
            <w:tcW w:w="8363" w:type="dxa"/>
            <w:vAlign w:val="top"/>
          </w:tcPr>
          <w:p w:rsidR="005D19FE" w:rsidRPr="000D086C" w:rsidRDefault="005D19FE" w:rsidP="00AD42B9">
            <w:r w:rsidRPr="000D086C">
              <w:t>Modified Mercalli Intensity. A scale, composed of increasing levels of intensity that range from imperceptible shaking to catastrophic destruction. It does not have a mathematical basis; instead it is an arbitrary ranking based on observed effects.</w:t>
            </w:r>
          </w:p>
        </w:tc>
      </w:tr>
    </w:tbl>
    <w:p w:rsidR="00702D61" w:rsidRPr="000D086C" w:rsidRDefault="00702D61" w:rsidP="00702D61">
      <w:r w:rsidRPr="000D086C">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rPr>
      </w:sdtEndPr>
      <w:sdtContent>
        <w:p w:rsidR="00964B22" w:rsidRPr="000D086C" w:rsidRDefault="00964B22" w:rsidP="00074573">
          <w:pPr>
            <w:pStyle w:val="TOCHeading"/>
            <w:tabs>
              <w:tab w:val="left" w:pos="9444"/>
            </w:tabs>
            <w:rPr>
              <w:lang w:eastAsia="ja-JP"/>
            </w:rPr>
          </w:pPr>
          <w:r w:rsidRPr="000D086C">
            <w:t>Contents</w:t>
          </w:r>
        </w:p>
        <w:p w:rsidR="009D3B6B" w:rsidRDefault="006747E0">
          <w:pPr>
            <w:pStyle w:val="TOC1"/>
            <w:rPr>
              <w:rFonts w:asciiTheme="minorHAnsi" w:eastAsiaTheme="minorEastAsia" w:hAnsiTheme="minorHAnsi" w:cstheme="minorBidi"/>
              <w:b w:val="0"/>
              <w:noProof/>
              <w:lang w:eastAsia="en-AU"/>
            </w:rPr>
          </w:pPr>
          <w:r w:rsidRPr="000D086C">
            <w:rPr>
              <w:rFonts w:eastAsiaTheme="minorEastAsia" w:cs="Arial"/>
              <w:lang w:eastAsia="en-AU"/>
            </w:rPr>
            <w:fldChar w:fldCharType="begin"/>
          </w:r>
          <w:r w:rsidRPr="000D086C">
            <w:rPr>
              <w:rFonts w:eastAsiaTheme="minorEastAsia" w:cs="Arial"/>
              <w:lang w:eastAsia="en-AU"/>
            </w:rPr>
            <w:instrText xml:space="preserve"> TOC \o "1-4" \h \z \u </w:instrText>
          </w:r>
          <w:r w:rsidRPr="000D086C">
            <w:rPr>
              <w:rFonts w:eastAsiaTheme="minorEastAsia" w:cs="Arial"/>
              <w:lang w:eastAsia="en-AU"/>
            </w:rPr>
            <w:fldChar w:fldCharType="separate"/>
          </w:r>
          <w:hyperlink w:anchor="_Toc122515300" w:history="1">
            <w:r w:rsidR="009D3B6B" w:rsidRPr="00AA2FDF">
              <w:rPr>
                <w:rStyle w:val="Hyperlink"/>
                <w:noProof/>
                <w:lang w:eastAsia="en-AU"/>
              </w:rPr>
              <w:t>1. Purpose</w:t>
            </w:r>
            <w:r w:rsidR="009D3B6B">
              <w:rPr>
                <w:noProof/>
                <w:webHidden/>
              </w:rPr>
              <w:tab/>
            </w:r>
            <w:r w:rsidR="009D3B6B">
              <w:rPr>
                <w:noProof/>
                <w:webHidden/>
              </w:rPr>
              <w:fldChar w:fldCharType="begin"/>
            </w:r>
            <w:r w:rsidR="009D3B6B">
              <w:rPr>
                <w:noProof/>
                <w:webHidden/>
              </w:rPr>
              <w:instrText xml:space="preserve"> PAGEREF _Toc122515300 \h </w:instrText>
            </w:r>
            <w:r w:rsidR="009D3B6B">
              <w:rPr>
                <w:noProof/>
                <w:webHidden/>
              </w:rPr>
            </w:r>
            <w:r w:rsidR="009D3B6B">
              <w:rPr>
                <w:noProof/>
                <w:webHidden/>
              </w:rPr>
              <w:fldChar w:fldCharType="separate"/>
            </w:r>
            <w:r w:rsidR="009D3B6B">
              <w:rPr>
                <w:noProof/>
                <w:webHidden/>
              </w:rPr>
              <w:t>4</w:t>
            </w:r>
            <w:r w:rsidR="009D3B6B">
              <w:rPr>
                <w:noProof/>
                <w:webHidden/>
              </w:rPr>
              <w:fldChar w:fldCharType="end"/>
            </w:r>
          </w:hyperlink>
        </w:p>
        <w:p w:rsidR="009D3B6B" w:rsidRDefault="004002AF">
          <w:pPr>
            <w:pStyle w:val="TOC3"/>
            <w:tabs>
              <w:tab w:val="left" w:pos="1100"/>
              <w:tab w:val="right" w:leader="dot" w:pos="10308"/>
            </w:tabs>
            <w:rPr>
              <w:rFonts w:asciiTheme="minorHAnsi" w:eastAsiaTheme="minorEastAsia" w:hAnsiTheme="minorHAnsi" w:cstheme="minorBidi"/>
              <w:noProof/>
              <w:lang w:eastAsia="en-AU"/>
            </w:rPr>
          </w:pPr>
          <w:hyperlink w:anchor="_Toc122515301" w:history="1">
            <w:r w:rsidR="009D3B6B" w:rsidRPr="00AA2FDF">
              <w:rPr>
                <w:rStyle w:val="Hyperlink"/>
                <w:noProof/>
              </w:rPr>
              <w:t>1.1</w:t>
            </w:r>
            <w:r w:rsidR="009D3B6B">
              <w:rPr>
                <w:rFonts w:asciiTheme="minorHAnsi" w:eastAsiaTheme="minorEastAsia" w:hAnsiTheme="minorHAnsi" w:cstheme="minorBidi"/>
                <w:noProof/>
                <w:lang w:eastAsia="en-AU"/>
              </w:rPr>
              <w:tab/>
            </w:r>
            <w:r w:rsidR="009D3B6B" w:rsidRPr="00AA2FDF">
              <w:rPr>
                <w:rStyle w:val="Hyperlink"/>
                <w:noProof/>
              </w:rPr>
              <w:t>Induced seismicity</w:t>
            </w:r>
            <w:r w:rsidR="009D3B6B">
              <w:rPr>
                <w:noProof/>
                <w:webHidden/>
              </w:rPr>
              <w:tab/>
            </w:r>
            <w:r w:rsidR="009D3B6B">
              <w:rPr>
                <w:noProof/>
                <w:webHidden/>
              </w:rPr>
              <w:fldChar w:fldCharType="begin"/>
            </w:r>
            <w:r w:rsidR="009D3B6B">
              <w:rPr>
                <w:noProof/>
                <w:webHidden/>
              </w:rPr>
              <w:instrText xml:space="preserve"> PAGEREF _Toc122515301 \h </w:instrText>
            </w:r>
            <w:r w:rsidR="009D3B6B">
              <w:rPr>
                <w:noProof/>
                <w:webHidden/>
              </w:rPr>
            </w:r>
            <w:r w:rsidR="009D3B6B">
              <w:rPr>
                <w:noProof/>
                <w:webHidden/>
              </w:rPr>
              <w:fldChar w:fldCharType="separate"/>
            </w:r>
            <w:r w:rsidR="009D3B6B">
              <w:rPr>
                <w:noProof/>
                <w:webHidden/>
              </w:rPr>
              <w:t>4</w:t>
            </w:r>
            <w:r w:rsidR="009D3B6B">
              <w:rPr>
                <w:noProof/>
                <w:webHidden/>
              </w:rPr>
              <w:fldChar w:fldCharType="end"/>
            </w:r>
          </w:hyperlink>
        </w:p>
        <w:p w:rsidR="009D3B6B" w:rsidRDefault="004002AF">
          <w:pPr>
            <w:pStyle w:val="TOC3"/>
            <w:tabs>
              <w:tab w:val="left" w:pos="1100"/>
              <w:tab w:val="right" w:leader="dot" w:pos="10308"/>
            </w:tabs>
            <w:rPr>
              <w:rFonts w:asciiTheme="minorHAnsi" w:eastAsiaTheme="minorEastAsia" w:hAnsiTheme="minorHAnsi" w:cstheme="minorBidi"/>
              <w:noProof/>
              <w:lang w:eastAsia="en-AU"/>
            </w:rPr>
          </w:pPr>
          <w:hyperlink w:anchor="_Toc122515302" w:history="1">
            <w:r w:rsidR="009D3B6B" w:rsidRPr="00AA2FDF">
              <w:rPr>
                <w:rStyle w:val="Hyperlink"/>
                <w:noProof/>
              </w:rPr>
              <w:t>1.2</w:t>
            </w:r>
            <w:r w:rsidR="009D3B6B">
              <w:rPr>
                <w:rFonts w:asciiTheme="minorHAnsi" w:eastAsiaTheme="minorEastAsia" w:hAnsiTheme="minorHAnsi" w:cstheme="minorBidi"/>
                <w:noProof/>
                <w:lang w:eastAsia="en-AU"/>
              </w:rPr>
              <w:tab/>
            </w:r>
            <w:r w:rsidR="009D3B6B" w:rsidRPr="00AA2FDF">
              <w:rPr>
                <w:rStyle w:val="Hyperlink"/>
                <w:noProof/>
              </w:rPr>
              <w:t>Traffic Light System</w:t>
            </w:r>
            <w:r w:rsidR="009D3B6B">
              <w:rPr>
                <w:noProof/>
                <w:webHidden/>
              </w:rPr>
              <w:tab/>
            </w:r>
            <w:r w:rsidR="009D3B6B">
              <w:rPr>
                <w:noProof/>
                <w:webHidden/>
              </w:rPr>
              <w:fldChar w:fldCharType="begin"/>
            </w:r>
            <w:r w:rsidR="009D3B6B">
              <w:rPr>
                <w:noProof/>
                <w:webHidden/>
              </w:rPr>
              <w:instrText xml:space="preserve"> PAGEREF _Toc122515302 \h </w:instrText>
            </w:r>
            <w:r w:rsidR="009D3B6B">
              <w:rPr>
                <w:noProof/>
                <w:webHidden/>
              </w:rPr>
            </w:r>
            <w:r w:rsidR="009D3B6B">
              <w:rPr>
                <w:noProof/>
                <w:webHidden/>
              </w:rPr>
              <w:fldChar w:fldCharType="separate"/>
            </w:r>
            <w:r w:rsidR="009D3B6B">
              <w:rPr>
                <w:noProof/>
                <w:webHidden/>
              </w:rPr>
              <w:t>4</w:t>
            </w:r>
            <w:r w:rsidR="009D3B6B">
              <w:rPr>
                <w:noProof/>
                <w:webHidden/>
              </w:rPr>
              <w:fldChar w:fldCharType="end"/>
            </w:r>
          </w:hyperlink>
        </w:p>
        <w:p w:rsidR="009D3B6B" w:rsidRDefault="004002AF">
          <w:pPr>
            <w:pStyle w:val="TOC1"/>
            <w:rPr>
              <w:rFonts w:asciiTheme="minorHAnsi" w:eastAsiaTheme="minorEastAsia" w:hAnsiTheme="minorHAnsi" w:cstheme="minorBidi"/>
              <w:b w:val="0"/>
              <w:noProof/>
              <w:lang w:eastAsia="en-AU"/>
            </w:rPr>
          </w:pPr>
          <w:hyperlink w:anchor="_Toc122515303" w:history="1">
            <w:r w:rsidR="009D3B6B" w:rsidRPr="00AA2FDF">
              <w:rPr>
                <w:rStyle w:val="Hyperlink"/>
                <w:noProof/>
              </w:rPr>
              <w:t>2. Induced Seismicity Management Plan (ISMP)</w:t>
            </w:r>
            <w:r w:rsidR="009D3B6B">
              <w:rPr>
                <w:noProof/>
                <w:webHidden/>
              </w:rPr>
              <w:tab/>
            </w:r>
            <w:r w:rsidR="009D3B6B">
              <w:rPr>
                <w:noProof/>
                <w:webHidden/>
              </w:rPr>
              <w:fldChar w:fldCharType="begin"/>
            </w:r>
            <w:r w:rsidR="009D3B6B">
              <w:rPr>
                <w:noProof/>
                <w:webHidden/>
              </w:rPr>
              <w:instrText xml:space="preserve"> PAGEREF _Toc122515303 \h </w:instrText>
            </w:r>
            <w:r w:rsidR="009D3B6B">
              <w:rPr>
                <w:noProof/>
                <w:webHidden/>
              </w:rPr>
            </w:r>
            <w:r w:rsidR="009D3B6B">
              <w:rPr>
                <w:noProof/>
                <w:webHidden/>
              </w:rPr>
              <w:fldChar w:fldCharType="separate"/>
            </w:r>
            <w:r w:rsidR="009D3B6B">
              <w:rPr>
                <w:noProof/>
                <w:webHidden/>
              </w:rPr>
              <w:t>4</w:t>
            </w:r>
            <w:r w:rsidR="009D3B6B">
              <w:rPr>
                <w:noProof/>
                <w:webHidden/>
              </w:rPr>
              <w:fldChar w:fldCharType="end"/>
            </w:r>
          </w:hyperlink>
        </w:p>
        <w:p w:rsidR="009D3B6B" w:rsidRDefault="004002AF">
          <w:pPr>
            <w:pStyle w:val="TOC3"/>
            <w:tabs>
              <w:tab w:val="left" w:pos="1100"/>
              <w:tab w:val="right" w:leader="dot" w:pos="10308"/>
            </w:tabs>
            <w:rPr>
              <w:rFonts w:asciiTheme="minorHAnsi" w:eastAsiaTheme="minorEastAsia" w:hAnsiTheme="minorHAnsi" w:cstheme="minorBidi"/>
              <w:noProof/>
              <w:lang w:eastAsia="en-AU"/>
            </w:rPr>
          </w:pPr>
          <w:hyperlink w:anchor="_Toc122515304" w:history="1">
            <w:r w:rsidR="009D3B6B" w:rsidRPr="00AA2FDF">
              <w:rPr>
                <w:rStyle w:val="Hyperlink"/>
                <w:noProof/>
              </w:rPr>
              <w:t>2.1</w:t>
            </w:r>
            <w:r w:rsidR="009D3B6B">
              <w:rPr>
                <w:rFonts w:asciiTheme="minorHAnsi" w:eastAsiaTheme="minorEastAsia" w:hAnsiTheme="minorHAnsi" w:cstheme="minorBidi"/>
                <w:noProof/>
                <w:lang w:eastAsia="en-AU"/>
              </w:rPr>
              <w:tab/>
            </w:r>
            <w:r w:rsidR="009D3B6B" w:rsidRPr="00AA2FDF">
              <w:rPr>
                <w:rStyle w:val="Hyperlink"/>
                <w:noProof/>
              </w:rPr>
              <w:t>Fault assessment and avoidance</w:t>
            </w:r>
            <w:r w:rsidR="009D3B6B">
              <w:rPr>
                <w:noProof/>
                <w:webHidden/>
              </w:rPr>
              <w:tab/>
            </w:r>
            <w:r w:rsidR="009D3B6B">
              <w:rPr>
                <w:noProof/>
                <w:webHidden/>
              </w:rPr>
              <w:fldChar w:fldCharType="begin"/>
            </w:r>
            <w:r w:rsidR="009D3B6B">
              <w:rPr>
                <w:noProof/>
                <w:webHidden/>
              </w:rPr>
              <w:instrText xml:space="preserve"> PAGEREF _Toc122515304 \h </w:instrText>
            </w:r>
            <w:r w:rsidR="009D3B6B">
              <w:rPr>
                <w:noProof/>
                <w:webHidden/>
              </w:rPr>
            </w:r>
            <w:r w:rsidR="009D3B6B">
              <w:rPr>
                <w:noProof/>
                <w:webHidden/>
              </w:rPr>
              <w:fldChar w:fldCharType="separate"/>
            </w:r>
            <w:r w:rsidR="009D3B6B">
              <w:rPr>
                <w:noProof/>
                <w:webHidden/>
              </w:rPr>
              <w:t>5</w:t>
            </w:r>
            <w:r w:rsidR="009D3B6B">
              <w:rPr>
                <w:noProof/>
                <w:webHidden/>
              </w:rPr>
              <w:fldChar w:fldCharType="end"/>
            </w:r>
          </w:hyperlink>
        </w:p>
        <w:p w:rsidR="009D3B6B" w:rsidRDefault="004002AF">
          <w:pPr>
            <w:pStyle w:val="TOC3"/>
            <w:tabs>
              <w:tab w:val="left" w:pos="1100"/>
              <w:tab w:val="right" w:leader="dot" w:pos="10308"/>
            </w:tabs>
            <w:rPr>
              <w:rFonts w:asciiTheme="minorHAnsi" w:eastAsiaTheme="minorEastAsia" w:hAnsiTheme="minorHAnsi" w:cstheme="minorBidi"/>
              <w:noProof/>
              <w:lang w:eastAsia="en-AU"/>
            </w:rPr>
          </w:pPr>
          <w:hyperlink w:anchor="_Toc122515305" w:history="1">
            <w:r w:rsidR="009D3B6B" w:rsidRPr="00AA2FDF">
              <w:rPr>
                <w:rStyle w:val="Hyperlink"/>
                <w:noProof/>
              </w:rPr>
              <w:t>2.2</w:t>
            </w:r>
            <w:r w:rsidR="009D3B6B">
              <w:rPr>
                <w:rFonts w:asciiTheme="minorHAnsi" w:eastAsiaTheme="minorEastAsia" w:hAnsiTheme="minorHAnsi" w:cstheme="minorBidi"/>
                <w:noProof/>
                <w:lang w:eastAsia="en-AU"/>
              </w:rPr>
              <w:tab/>
            </w:r>
            <w:r w:rsidR="009D3B6B" w:rsidRPr="00AA2FDF">
              <w:rPr>
                <w:rStyle w:val="Hyperlink"/>
                <w:noProof/>
              </w:rPr>
              <w:t>Monitoring</w:t>
            </w:r>
            <w:r w:rsidR="009D3B6B">
              <w:rPr>
                <w:noProof/>
                <w:webHidden/>
              </w:rPr>
              <w:tab/>
            </w:r>
            <w:r w:rsidR="009D3B6B">
              <w:rPr>
                <w:noProof/>
                <w:webHidden/>
              </w:rPr>
              <w:fldChar w:fldCharType="begin"/>
            </w:r>
            <w:r w:rsidR="009D3B6B">
              <w:rPr>
                <w:noProof/>
                <w:webHidden/>
              </w:rPr>
              <w:instrText xml:space="preserve"> PAGEREF _Toc122515305 \h </w:instrText>
            </w:r>
            <w:r w:rsidR="009D3B6B">
              <w:rPr>
                <w:noProof/>
                <w:webHidden/>
              </w:rPr>
            </w:r>
            <w:r w:rsidR="009D3B6B">
              <w:rPr>
                <w:noProof/>
                <w:webHidden/>
              </w:rPr>
              <w:fldChar w:fldCharType="separate"/>
            </w:r>
            <w:r w:rsidR="009D3B6B">
              <w:rPr>
                <w:noProof/>
                <w:webHidden/>
              </w:rPr>
              <w:t>5</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06" w:history="1">
            <w:r w:rsidR="009D3B6B" w:rsidRPr="00AA2FDF">
              <w:rPr>
                <w:rStyle w:val="Hyperlink"/>
                <w:noProof/>
              </w:rPr>
              <w:t>2.2.1</w:t>
            </w:r>
            <w:r w:rsidR="009D3B6B">
              <w:rPr>
                <w:rFonts w:asciiTheme="minorHAnsi" w:eastAsiaTheme="minorEastAsia" w:hAnsiTheme="minorHAnsi" w:cstheme="minorBidi"/>
                <w:noProof/>
                <w:lang w:eastAsia="en-AU"/>
              </w:rPr>
              <w:tab/>
            </w:r>
            <w:r w:rsidR="009D3B6B" w:rsidRPr="00AA2FDF">
              <w:rPr>
                <w:rStyle w:val="Hyperlink"/>
                <w:noProof/>
              </w:rPr>
              <w:t>Equipment requirements</w:t>
            </w:r>
            <w:r w:rsidR="009D3B6B">
              <w:rPr>
                <w:noProof/>
                <w:webHidden/>
              </w:rPr>
              <w:tab/>
            </w:r>
            <w:r w:rsidR="009D3B6B">
              <w:rPr>
                <w:noProof/>
                <w:webHidden/>
              </w:rPr>
              <w:fldChar w:fldCharType="begin"/>
            </w:r>
            <w:r w:rsidR="009D3B6B">
              <w:rPr>
                <w:noProof/>
                <w:webHidden/>
              </w:rPr>
              <w:instrText xml:space="preserve"> PAGEREF _Toc122515306 \h </w:instrText>
            </w:r>
            <w:r w:rsidR="009D3B6B">
              <w:rPr>
                <w:noProof/>
                <w:webHidden/>
              </w:rPr>
            </w:r>
            <w:r w:rsidR="009D3B6B">
              <w:rPr>
                <w:noProof/>
                <w:webHidden/>
              </w:rPr>
              <w:fldChar w:fldCharType="separate"/>
            </w:r>
            <w:r w:rsidR="009D3B6B">
              <w:rPr>
                <w:noProof/>
                <w:webHidden/>
              </w:rPr>
              <w:t>5</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07" w:history="1">
            <w:r w:rsidR="009D3B6B" w:rsidRPr="00AA2FDF">
              <w:rPr>
                <w:rStyle w:val="Hyperlink"/>
                <w:noProof/>
              </w:rPr>
              <w:t>2.2.2</w:t>
            </w:r>
            <w:r w:rsidR="009D3B6B">
              <w:rPr>
                <w:rFonts w:asciiTheme="minorHAnsi" w:eastAsiaTheme="minorEastAsia" w:hAnsiTheme="minorHAnsi" w:cstheme="minorBidi"/>
                <w:noProof/>
                <w:lang w:eastAsia="en-AU"/>
              </w:rPr>
              <w:tab/>
            </w:r>
            <w:r w:rsidR="009D3B6B" w:rsidRPr="00AA2FDF">
              <w:rPr>
                <w:rStyle w:val="Hyperlink"/>
                <w:noProof/>
              </w:rPr>
              <w:t>Location and installation of accelerometers</w:t>
            </w:r>
            <w:r w:rsidR="009D3B6B">
              <w:rPr>
                <w:noProof/>
                <w:webHidden/>
              </w:rPr>
              <w:tab/>
            </w:r>
            <w:r w:rsidR="009D3B6B">
              <w:rPr>
                <w:noProof/>
                <w:webHidden/>
              </w:rPr>
              <w:fldChar w:fldCharType="begin"/>
            </w:r>
            <w:r w:rsidR="009D3B6B">
              <w:rPr>
                <w:noProof/>
                <w:webHidden/>
              </w:rPr>
              <w:instrText xml:space="preserve"> PAGEREF _Toc122515307 \h </w:instrText>
            </w:r>
            <w:r w:rsidR="009D3B6B">
              <w:rPr>
                <w:noProof/>
                <w:webHidden/>
              </w:rPr>
            </w:r>
            <w:r w:rsidR="009D3B6B">
              <w:rPr>
                <w:noProof/>
                <w:webHidden/>
              </w:rPr>
              <w:fldChar w:fldCharType="separate"/>
            </w:r>
            <w:r w:rsidR="009D3B6B">
              <w:rPr>
                <w:noProof/>
                <w:webHidden/>
              </w:rPr>
              <w:t>6</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08" w:history="1">
            <w:r w:rsidR="009D3B6B" w:rsidRPr="00AA2FDF">
              <w:rPr>
                <w:rStyle w:val="Hyperlink"/>
                <w:noProof/>
              </w:rPr>
              <w:t>2.2.3</w:t>
            </w:r>
            <w:r w:rsidR="009D3B6B">
              <w:rPr>
                <w:rFonts w:asciiTheme="minorHAnsi" w:eastAsiaTheme="minorEastAsia" w:hAnsiTheme="minorHAnsi" w:cstheme="minorBidi"/>
                <w:noProof/>
                <w:lang w:eastAsia="en-AU"/>
              </w:rPr>
              <w:tab/>
            </w:r>
            <w:r w:rsidR="009D3B6B" w:rsidRPr="00AA2FDF">
              <w:rPr>
                <w:rStyle w:val="Hyperlink"/>
                <w:noProof/>
              </w:rPr>
              <w:t>Monitoring requirements (duration and timing)</w:t>
            </w:r>
            <w:r w:rsidR="009D3B6B">
              <w:rPr>
                <w:noProof/>
                <w:webHidden/>
              </w:rPr>
              <w:tab/>
            </w:r>
            <w:r w:rsidR="009D3B6B">
              <w:rPr>
                <w:noProof/>
                <w:webHidden/>
              </w:rPr>
              <w:fldChar w:fldCharType="begin"/>
            </w:r>
            <w:r w:rsidR="009D3B6B">
              <w:rPr>
                <w:noProof/>
                <w:webHidden/>
              </w:rPr>
              <w:instrText xml:space="preserve"> PAGEREF _Toc122515308 \h </w:instrText>
            </w:r>
            <w:r w:rsidR="009D3B6B">
              <w:rPr>
                <w:noProof/>
                <w:webHidden/>
              </w:rPr>
            </w:r>
            <w:r w:rsidR="009D3B6B">
              <w:rPr>
                <w:noProof/>
                <w:webHidden/>
              </w:rPr>
              <w:fldChar w:fldCharType="separate"/>
            </w:r>
            <w:r w:rsidR="009D3B6B">
              <w:rPr>
                <w:noProof/>
                <w:webHidden/>
              </w:rPr>
              <w:t>6</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09" w:history="1">
            <w:r w:rsidR="009D3B6B" w:rsidRPr="00AA2FDF">
              <w:rPr>
                <w:rStyle w:val="Hyperlink"/>
                <w:noProof/>
              </w:rPr>
              <w:t>2.2.4</w:t>
            </w:r>
            <w:r w:rsidR="009D3B6B">
              <w:rPr>
                <w:rFonts w:asciiTheme="minorHAnsi" w:eastAsiaTheme="minorEastAsia" w:hAnsiTheme="minorHAnsi" w:cstheme="minorBidi"/>
                <w:noProof/>
                <w:lang w:eastAsia="en-AU"/>
              </w:rPr>
              <w:tab/>
            </w:r>
            <w:r w:rsidR="009D3B6B" w:rsidRPr="00AA2FDF">
              <w:rPr>
                <w:rStyle w:val="Hyperlink"/>
                <w:noProof/>
              </w:rPr>
              <w:t>Data submission and reporting requirements</w:t>
            </w:r>
            <w:r w:rsidR="009D3B6B">
              <w:rPr>
                <w:noProof/>
                <w:webHidden/>
              </w:rPr>
              <w:tab/>
            </w:r>
            <w:r w:rsidR="009D3B6B">
              <w:rPr>
                <w:noProof/>
                <w:webHidden/>
              </w:rPr>
              <w:fldChar w:fldCharType="begin"/>
            </w:r>
            <w:r w:rsidR="009D3B6B">
              <w:rPr>
                <w:noProof/>
                <w:webHidden/>
              </w:rPr>
              <w:instrText xml:space="preserve"> PAGEREF _Toc122515309 \h </w:instrText>
            </w:r>
            <w:r w:rsidR="009D3B6B">
              <w:rPr>
                <w:noProof/>
                <w:webHidden/>
              </w:rPr>
            </w:r>
            <w:r w:rsidR="009D3B6B">
              <w:rPr>
                <w:noProof/>
                <w:webHidden/>
              </w:rPr>
              <w:fldChar w:fldCharType="separate"/>
            </w:r>
            <w:r w:rsidR="009D3B6B">
              <w:rPr>
                <w:noProof/>
                <w:webHidden/>
              </w:rPr>
              <w:t>6</w:t>
            </w:r>
            <w:r w:rsidR="009D3B6B">
              <w:rPr>
                <w:noProof/>
                <w:webHidden/>
              </w:rPr>
              <w:fldChar w:fldCharType="end"/>
            </w:r>
          </w:hyperlink>
        </w:p>
        <w:p w:rsidR="009D3B6B" w:rsidRDefault="004002AF">
          <w:pPr>
            <w:pStyle w:val="TOC3"/>
            <w:tabs>
              <w:tab w:val="left" w:pos="1100"/>
              <w:tab w:val="right" w:leader="dot" w:pos="10308"/>
            </w:tabs>
            <w:rPr>
              <w:rFonts w:asciiTheme="minorHAnsi" w:eastAsiaTheme="minorEastAsia" w:hAnsiTheme="minorHAnsi" w:cstheme="minorBidi"/>
              <w:noProof/>
              <w:lang w:eastAsia="en-AU"/>
            </w:rPr>
          </w:pPr>
          <w:hyperlink w:anchor="_Toc122515310" w:history="1">
            <w:r w:rsidR="009D3B6B" w:rsidRPr="00AA2FDF">
              <w:rPr>
                <w:rStyle w:val="Hyperlink"/>
                <w:noProof/>
              </w:rPr>
              <w:t>2.3</w:t>
            </w:r>
            <w:r w:rsidR="009D3B6B">
              <w:rPr>
                <w:rFonts w:asciiTheme="minorHAnsi" w:eastAsiaTheme="minorEastAsia" w:hAnsiTheme="minorHAnsi" w:cstheme="minorBidi"/>
                <w:noProof/>
                <w:lang w:eastAsia="en-AU"/>
              </w:rPr>
              <w:tab/>
            </w:r>
            <w:r w:rsidR="009D3B6B" w:rsidRPr="00AA2FDF">
              <w:rPr>
                <w:rStyle w:val="Hyperlink"/>
                <w:noProof/>
              </w:rPr>
              <w:t>Traffic Light System</w:t>
            </w:r>
            <w:r w:rsidR="009D3B6B">
              <w:rPr>
                <w:noProof/>
                <w:webHidden/>
              </w:rPr>
              <w:tab/>
            </w:r>
            <w:r w:rsidR="009D3B6B">
              <w:rPr>
                <w:noProof/>
                <w:webHidden/>
              </w:rPr>
              <w:fldChar w:fldCharType="begin"/>
            </w:r>
            <w:r w:rsidR="009D3B6B">
              <w:rPr>
                <w:noProof/>
                <w:webHidden/>
              </w:rPr>
              <w:instrText xml:space="preserve"> PAGEREF _Toc122515310 \h </w:instrText>
            </w:r>
            <w:r w:rsidR="009D3B6B">
              <w:rPr>
                <w:noProof/>
                <w:webHidden/>
              </w:rPr>
            </w:r>
            <w:r w:rsidR="009D3B6B">
              <w:rPr>
                <w:noProof/>
                <w:webHidden/>
              </w:rPr>
              <w:fldChar w:fldCharType="separate"/>
            </w:r>
            <w:r w:rsidR="009D3B6B">
              <w:rPr>
                <w:noProof/>
                <w:webHidden/>
              </w:rPr>
              <w:t>7</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11" w:history="1">
            <w:r w:rsidR="009D3B6B" w:rsidRPr="00AA2FDF">
              <w:rPr>
                <w:rStyle w:val="Hyperlink"/>
                <w:noProof/>
              </w:rPr>
              <w:t>2.3.1</w:t>
            </w:r>
            <w:r w:rsidR="009D3B6B">
              <w:rPr>
                <w:rFonts w:asciiTheme="minorHAnsi" w:eastAsiaTheme="minorEastAsia" w:hAnsiTheme="minorHAnsi" w:cstheme="minorBidi"/>
                <w:noProof/>
                <w:lang w:eastAsia="en-AU"/>
              </w:rPr>
              <w:tab/>
            </w:r>
            <w:r w:rsidR="009D3B6B" w:rsidRPr="00AA2FDF">
              <w:rPr>
                <w:rStyle w:val="Hyperlink"/>
                <w:noProof/>
              </w:rPr>
              <w:t>Real time assessment of Peak Ground Acceleration (PGA) and Gravity</w:t>
            </w:r>
            <w:r w:rsidR="009D3B6B">
              <w:rPr>
                <w:noProof/>
                <w:webHidden/>
              </w:rPr>
              <w:tab/>
            </w:r>
            <w:r w:rsidR="009D3B6B">
              <w:rPr>
                <w:noProof/>
                <w:webHidden/>
              </w:rPr>
              <w:fldChar w:fldCharType="begin"/>
            </w:r>
            <w:r w:rsidR="009D3B6B">
              <w:rPr>
                <w:noProof/>
                <w:webHidden/>
              </w:rPr>
              <w:instrText xml:space="preserve"> PAGEREF _Toc122515311 \h </w:instrText>
            </w:r>
            <w:r w:rsidR="009D3B6B">
              <w:rPr>
                <w:noProof/>
                <w:webHidden/>
              </w:rPr>
            </w:r>
            <w:r w:rsidR="009D3B6B">
              <w:rPr>
                <w:noProof/>
                <w:webHidden/>
              </w:rPr>
              <w:fldChar w:fldCharType="separate"/>
            </w:r>
            <w:r w:rsidR="009D3B6B">
              <w:rPr>
                <w:noProof/>
                <w:webHidden/>
              </w:rPr>
              <w:t>7</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12" w:history="1">
            <w:r w:rsidR="009D3B6B" w:rsidRPr="00AA2FDF">
              <w:rPr>
                <w:rStyle w:val="Hyperlink"/>
                <w:noProof/>
              </w:rPr>
              <w:t>2.3.2</w:t>
            </w:r>
            <w:r w:rsidR="009D3B6B">
              <w:rPr>
                <w:rFonts w:asciiTheme="minorHAnsi" w:eastAsiaTheme="minorEastAsia" w:hAnsiTheme="minorHAnsi" w:cstheme="minorBidi"/>
                <w:noProof/>
                <w:lang w:eastAsia="en-AU"/>
              </w:rPr>
              <w:tab/>
            </w:r>
            <w:r w:rsidR="009D3B6B" w:rsidRPr="00AA2FDF">
              <w:rPr>
                <w:rStyle w:val="Hyperlink"/>
                <w:noProof/>
              </w:rPr>
              <w:t>Red Light – Cease operations</w:t>
            </w:r>
            <w:r w:rsidR="009D3B6B">
              <w:rPr>
                <w:noProof/>
                <w:webHidden/>
              </w:rPr>
              <w:tab/>
            </w:r>
            <w:r w:rsidR="009D3B6B">
              <w:rPr>
                <w:noProof/>
                <w:webHidden/>
              </w:rPr>
              <w:fldChar w:fldCharType="begin"/>
            </w:r>
            <w:r w:rsidR="009D3B6B">
              <w:rPr>
                <w:noProof/>
                <w:webHidden/>
              </w:rPr>
              <w:instrText xml:space="preserve"> PAGEREF _Toc122515312 \h </w:instrText>
            </w:r>
            <w:r w:rsidR="009D3B6B">
              <w:rPr>
                <w:noProof/>
                <w:webHidden/>
              </w:rPr>
            </w:r>
            <w:r w:rsidR="009D3B6B">
              <w:rPr>
                <w:noProof/>
                <w:webHidden/>
              </w:rPr>
              <w:fldChar w:fldCharType="separate"/>
            </w:r>
            <w:r w:rsidR="009D3B6B">
              <w:rPr>
                <w:noProof/>
                <w:webHidden/>
              </w:rPr>
              <w:t>9</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13" w:history="1">
            <w:r w:rsidR="009D3B6B" w:rsidRPr="00AA2FDF">
              <w:rPr>
                <w:rStyle w:val="Hyperlink"/>
                <w:noProof/>
              </w:rPr>
              <w:t>2.3.3</w:t>
            </w:r>
            <w:r w:rsidR="009D3B6B">
              <w:rPr>
                <w:rFonts w:asciiTheme="minorHAnsi" w:eastAsiaTheme="minorEastAsia" w:hAnsiTheme="minorHAnsi" w:cstheme="minorBidi"/>
                <w:noProof/>
                <w:lang w:eastAsia="en-AU"/>
              </w:rPr>
              <w:tab/>
            </w:r>
            <w:r w:rsidR="009D3B6B" w:rsidRPr="00AA2FDF">
              <w:rPr>
                <w:rStyle w:val="Hyperlink"/>
                <w:noProof/>
              </w:rPr>
              <w:t>Amber Light – Report and monitor</w:t>
            </w:r>
            <w:r w:rsidR="009D3B6B">
              <w:rPr>
                <w:noProof/>
                <w:webHidden/>
              </w:rPr>
              <w:tab/>
            </w:r>
            <w:r w:rsidR="009D3B6B">
              <w:rPr>
                <w:noProof/>
                <w:webHidden/>
              </w:rPr>
              <w:fldChar w:fldCharType="begin"/>
            </w:r>
            <w:r w:rsidR="009D3B6B">
              <w:rPr>
                <w:noProof/>
                <w:webHidden/>
              </w:rPr>
              <w:instrText xml:space="preserve"> PAGEREF _Toc122515313 \h </w:instrText>
            </w:r>
            <w:r w:rsidR="009D3B6B">
              <w:rPr>
                <w:noProof/>
                <w:webHidden/>
              </w:rPr>
            </w:r>
            <w:r w:rsidR="009D3B6B">
              <w:rPr>
                <w:noProof/>
                <w:webHidden/>
              </w:rPr>
              <w:fldChar w:fldCharType="separate"/>
            </w:r>
            <w:r w:rsidR="009D3B6B">
              <w:rPr>
                <w:noProof/>
                <w:webHidden/>
              </w:rPr>
              <w:t>9</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14" w:history="1">
            <w:r w:rsidR="009D3B6B" w:rsidRPr="00AA2FDF">
              <w:rPr>
                <w:rStyle w:val="Hyperlink"/>
                <w:noProof/>
              </w:rPr>
              <w:t>2.3.4</w:t>
            </w:r>
            <w:r w:rsidR="009D3B6B">
              <w:rPr>
                <w:rFonts w:asciiTheme="minorHAnsi" w:eastAsiaTheme="minorEastAsia" w:hAnsiTheme="minorHAnsi" w:cstheme="minorBidi"/>
                <w:noProof/>
                <w:lang w:eastAsia="en-AU"/>
              </w:rPr>
              <w:tab/>
            </w:r>
            <w:r w:rsidR="009D3B6B" w:rsidRPr="00AA2FDF">
              <w:rPr>
                <w:rStyle w:val="Hyperlink"/>
                <w:noProof/>
              </w:rPr>
              <w:t>Green Light – Continue operations</w:t>
            </w:r>
            <w:r w:rsidR="009D3B6B">
              <w:rPr>
                <w:noProof/>
                <w:webHidden/>
              </w:rPr>
              <w:tab/>
            </w:r>
            <w:r w:rsidR="009D3B6B">
              <w:rPr>
                <w:noProof/>
                <w:webHidden/>
              </w:rPr>
              <w:fldChar w:fldCharType="begin"/>
            </w:r>
            <w:r w:rsidR="009D3B6B">
              <w:rPr>
                <w:noProof/>
                <w:webHidden/>
              </w:rPr>
              <w:instrText xml:space="preserve"> PAGEREF _Toc122515314 \h </w:instrText>
            </w:r>
            <w:r w:rsidR="009D3B6B">
              <w:rPr>
                <w:noProof/>
                <w:webHidden/>
              </w:rPr>
            </w:r>
            <w:r w:rsidR="009D3B6B">
              <w:rPr>
                <w:noProof/>
                <w:webHidden/>
              </w:rPr>
              <w:fldChar w:fldCharType="separate"/>
            </w:r>
            <w:r w:rsidR="009D3B6B">
              <w:rPr>
                <w:noProof/>
                <w:webHidden/>
              </w:rPr>
              <w:t>9</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15" w:history="1">
            <w:r w:rsidR="009D3B6B" w:rsidRPr="00AA2FDF">
              <w:rPr>
                <w:rStyle w:val="Hyperlink"/>
                <w:noProof/>
              </w:rPr>
              <w:t>2.3.5</w:t>
            </w:r>
            <w:r w:rsidR="009D3B6B">
              <w:rPr>
                <w:rFonts w:asciiTheme="minorHAnsi" w:eastAsiaTheme="minorEastAsia" w:hAnsiTheme="minorHAnsi" w:cstheme="minorBidi"/>
                <w:noProof/>
                <w:lang w:eastAsia="en-AU"/>
              </w:rPr>
              <w:tab/>
            </w:r>
            <w:r w:rsidR="009D3B6B" w:rsidRPr="00AA2FDF">
              <w:rPr>
                <w:rStyle w:val="Hyperlink"/>
                <w:noProof/>
              </w:rPr>
              <w:t>Specific Event Reporting</w:t>
            </w:r>
            <w:r w:rsidR="009D3B6B">
              <w:rPr>
                <w:noProof/>
                <w:webHidden/>
              </w:rPr>
              <w:tab/>
            </w:r>
            <w:r w:rsidR="009D3B6B">
              <w:rPr>
                <w:noProof/>
                <w:webHidden/>
              </w:rPr>
              <w:fldChar w:fldCharType="begin"/>
            </w:r>
            <w:r w:rsidR="009D3B6B">
              <w:rPr>
                <w:noProof/>
                <w:webHidden/>
              </w:rPr>
              <w:instrText xml:space="preserve"> PAGEREF _Toc122515315 \h </w:instrText>
            </w:r>
            <w:r w:rsidR="009D3B6B">
              <w:rPr>
                <w:noProof/>
                <w:webHidden/>
              </w:rPr>
            </w:r>
            <w:r w:rsidR="009D3B6B">
              <w:rPr>
                <w:noProof/>
                <w:webHidden/>
              </w:rPr>
              <w:fldChar w:fldCharType="separate"/>
            </w:r>
            <w:r w:rsidR="009D3B6B">
              <w:rPr>
                <w:noProof/>
                <w:webHidden/>
              </w:rPr>
              <w:t>10</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16" w:history="1">
            <w:r w:rsidR="009D3B6B" w:rsidRPr="00AA2FDF">
              <w:rPr>
                <w:rStyle w:val="Hyperlink"/>
                <w:noProof/>
              </w:rPr>
              <w:t>2.3.6</w:t>
            </w:r>
            <w:r w:rsidR="009D3B6B">
              <w:rPr>
                <w:rFonts w:asciiTheme="minorHAnsi" w:eastAsiaTheme="minorEastAsia" w:hAnsiTheme="minorHAnsi" w:cstheme="minorBidi"/>
                <w:noProof/>
                <w:lang w:eastAsia="en-AU"/>
              </w:rPr>
              <w:tab/>
            </w:r>
            <w:r w:rsidR="009D3B6B" w:rsidRPr="00AA2FDF">
              <w:rPr>
                <w:rStyle w:val="Hyperlink"/>
                <w:noProof/>
              </w:rPr>
              <w:t>Seismicity Mitigation Plan</w:t>
            </w:r>
            <w:r w:rsidR="009D3B6B">
              <w:rPr>
                <w:noProof/>
                <w:webHidden/>
              </w:rPr>
              <w:tab/>
            </w:r>
            <w:r w:rsidR="009D3B6B">
              <w:rPr>
                <w:noProof/>
                <w:webHidden/>
              </w:rPr>
              <w:fldChar w:fldCharType="begin"/>
            </w:r>
            <w:r w:rsidR="009D3B6B">
              <w:rPr>
                <w:noProof/>
                <w:webHidden/>
              </w:rPr>
              <w:instrText xml:space="preserve"> PAGEREF _Toc122515316 \h </w:instrText>
            </w:r>
            <w:r w:rsidR="009D3B6B">
              <w:rPr>
                <w:noProof/>
                <w:webHidden/>
              </w:rPr>
            </w:r>
            <w:r w:rsidR="009D3B6B">
              <w:rPr>
                <w:noProof/>
                <w:webHidden/>
              </w:rPr>
              <w:fldChar w:fldCharType="separate"/>
            </w:r>
            <w:r w:rsidR="009D3B6B">
              <w:rPr>
                <w:noProof/>
                <w:webHidden/>
              </w:rPr>
              <w:t>10</w:t>
            </w:r>
            <w:r w:rsidR="009D3B6B">
              <w:rPr>
                <w:noProof/>
                <w:webHidden/>
              </w:rPr>
              <w:fldChar w:fldCharType="end"/>
            </w:r>
          </w:hyperlink>
        </w:p>
        <w:p w:rsidR="009D3B6B" w:rsidRDefault="004002AF">
          <w:pPr>
            <w:pStyle w:val="TOC4"/>
            <w:tabs>
              <w:tab w:val="left" w:pos="1540"/>
              <w:tab w:val="right" w:leader="dot" w:pos="10308"/>
            </w:tabs>
            <w:rPr>
              <w:rFonts w:asciiTheme="minorHAnsi" w:eastAsiaTheme="minorEastAsia" w:hAnsiTheme="minorHAnsi" w:cstheme="minorBidi"/>
              <w:noProof/>
              <w:lang w:eastAsia="en-AU"/>
            </w:rPr>
          </w:pPr>
          <w:hyperlink w:anchor="_Toc122515317" w:history="1">
            <w:r w:rsidR="009D3B6B" w:rsidRPr="00AA2FDF">
              <w:rPr>
                <w:rStyle w:val="Hyperlink"/>
                <w:noProof/>
              </w:rPr>
              <w:t>2.3.7</w:t>
            </w:r>
            <w:r w:rsidR="009D3B6B">
              <w:rPr>
                <w:rFonts w:asciiTheme="minorHAnsi" w:eastAsiaTheme="minorEastAsia" w:hAnsiTheme="minorHAnsi" w:cstheme="minorBidi"/>
                <w:noProof/>
                <w:lang w:eastAsia="en-AU"/>
              </w:rPr>
              <w:tab/>
            </w:r>
            <w:r w:rsidR="009D3B6B" w:rsidRPr="00AA2FDF">
              <w:rPr>
                <w:rStyle w:val="Hyperlink"/>
                <w:noProof/>
              </w:rPr>
              <w:t>Submission of reports and notifications</w:t>
            </w:r>
            <w:r w:rsidR="009D3B6B">
              <w:rPr>
                <w:noProof/>
                <w:webHidden/>
              </w:rPr>
              <w:tab/>
            </w:r>
            <w:r w:rsidR="009D3B6B">
              <w:rPr>
                <w:noProof/>
                <w:webHidden/>
              </w:rPr>
              <w:fldChar w:fldCharType="begin"/>
            </w:r>
            <w:r w:rsidR="009D3B6B">
              <w:rPr>
                <w:noProof/>
                <w:webHidden/>
              </w:rPr>
              <w:instrText xml:space="preserve"> PAGEREF _Toc122515317 \h </w:instrText>
            </w:r>
            <w:r w:rsidR="009D3B6B">
              <w:rPr>
                <w:noProof/>
                <w:webHidden/>
              </w:rPr>
            </w:r>
            <w:r w:rsidR="009D3B6B">
              <w:rPr>
                <w:noProof/>
                <w:webHidden/>
              </w:rPr>
              <w:fldChar w:fldCharType="separate"/>
            </w:r>
            <w:r w:rsidR="009D3B6B">
              <w:rPr>
                <w:noProof/>
                <w:webHidden/>
              </w:rPr>
              <w:t>10</w:t>
            </w:r>
            <w:r w:rsidR="009D3B6B">
              <w:rPr>
                <w:noProof/>
                <w:webHidden/>
              </w:rPr>
              <w:fldChar w:fldCharType="end"/>
            </w:r>
          </w:hyperlink>
        </w:p>
        <w:p w:rsidR="009D3B6B" w:rsidRDefault="004002AF">
          <w:pPr>
            <w:pStyle w:val="TOC1"/>
            <w:rPr>
              <w:rFonts w:asciiTheme="minorHAnsi" w:eastAsiaTheme="minorEastAsia" w:hAnsiTheme="minorHAnsi" w:cstheme="minorBidi"/>
              <w:b w:val="0"/>
              <w:noProof/>
              <w:lang w:eastAsia="en-AU"/>
            </w:rPr>
          </w:pPr>
          <w:hyperlink w:anchor="_Toc122515318" w:history="1">
            <w:r w:rsidR="009D3B6B" w:rsidRPr="00AA2FDF">
              <w:rPr>
                <w:rStyle w:val="Hyperlink"/>
                <w:noProof/>
                <w:lang w:eastAsia="en-AU"/>
              </w:rPr>
              <w:t>3. Publication of data</w:t>
            </w:r>
            <w:r w:rsidR="009D3B6B">
              <w:rPr>
                <w:noProof/>
                <w:webHidden/>
              </w:rPr>
              <w:tab/>
            </w:r>
            <w:r w:rsidR="009D3B6B">
              <w:rPr>
                <w:noProof/>
                <w:webHidden/>
              </w:rPr>
              <w:fldChar w:fldCharType="begin"/>
            </w:r>
            <w:r w:rsidR="009D3B6B">
              <w:rPr>
                <w:noProof/>
                <w:webHidden/>
              </w:rPr>
              <w:instrText xml:space="preserve"> PAGEREF _Toc122515318 \h </w:instrText>
            </w:r>
            <w:r w:rsidR="009D3B6B">
              <w:rPr>
                <w:noProof/>
                <w:webHidden/>
              </w:rPr>
            </w:r>
            <w:r w:rsidR="009D3B6B">
              <w:rPr>
                <w:noProof/>
                <w:webHidden/>
              </w:rPr>
              <w:fldChar w:fldCharType="separate"/>
            </w:r>
            <w:r w:rsidR="009D3B6B">
              <w:rPr>
                <w:noProof/>
                <w:webHidden/>
              </w:rPr>
              <w:t>10</w:t>
            </w:r>
            <w:r w:rsidR="009D3B6B">
              <w:rPr>
                <w:noProof/>
                <w:webHidden/>
              </w:rPr>
              <w:fldChar w:fldCharType="end"/>
            </w:r>
          </w:hyperlink>
        </w:p>
        <w:p w:rsidR="00964B22" w:rsidRPr="000D086C" w:rsidRDefault="006747E0" w:rsidP="00964B22">
          <w:pPr>
            <w:rPr>
              <w:rFonts w:eastAsiaTheme="minorEastAsia" w:cs="Arial"/>
              <w:b/>
              <w:lang w:eastAsia="en-AU"/>
            </w:rPr>
          </w:pPr>
          <w:r w:rsidRPr="000D086C">
            <w:rPr>
              <w:rFonts w:eastAsiaTheme="minorEastAsia" w:cs="Arial"/>
              <w:lang w:eastAsia="en-AU"/>
            </w:rPr>
            <w:fldChar w:fldCharType="end"/>
          </w:r>
        </w:p>
      </w:sdtContent>
    </w:sdt>
    <w:p w:rsidR="00964B22" w:rsidRPr="000D086C" w:rsidRDefault="00964B22" w:rsidP="00964B22">
      <w:pPr>
        <w:sectPr w:rsidR="00964B22" w:rsidRPr="000D086C" w:rsidSect="00C800F1">
          <w:headerReference w:type="first" r:id="rId12"/>
          <w:footerReference w:type="first" r:id="rId13"/>
          <w:pgSz w:w="11906" w:h="16838" w:code="9"/>
          <w:pgMar w:top="794" w:right="794" w:bottom="794" w:left="794" w:header="794" w:footer="794" w:gutter="0"/>
          <w:cols w:space="708"/>
          <w:titlePg/>
          <w:docGrid w:linePitch="360"/>
        </w:sectPr>
      </w:pPr>
    </w:p>
    <w:p w:rsidR="005D19FE" w:rsidRPr="000D086C" w:rsidRDefault="005D19FE" w:rsidP="005D19FE">
      <w:pPr>
        <w:pStyle w:val="Heading1"/>
        <w:ind w:left="432" w:hanging="432"/>
        <w:rPr>
          <w:lang w:eastAsia="en-AU"/>
        </w:rPr>
      </w:pPr>
      <w:bookmarkStart w:id="1" w:name="_Toc121920344"/>
      <w:bookmarkStart w:id="2" w:name="_Toc121925464"/>
      <w:bookmarkStart w:id="3" w:name="_Toc122515300"/>
      <w:r w:rsidRPr="000D086C">
        <w:rPr>
          <w:lang w:eastAsia="en-AU"/>
        </w:rPr>
        <w:lastRenderedPageBreak/>
        <w:t>Purpose</w:t>
      </w:r>
      <w:bookmarkEnd w:id="1"/>
      <w:bookmarkEnd w:id="2"/>
      <w:bookmarkEnd w:id="3"/>
    </w:p>
    <w:p w:rsidR="005D19FE" w:rsidRPr="000D086C" w:rsidRDefault="005D19FE" w:rsidP="005D19FE">
      <w:r w:rsidRPr="000D086C">
        <w:t>The Induced Seismicity Management Guideline (Guideline) establishes the criteria for induced seismicity management monitoring, planning and mitigation for all exploration permit, retention licence and production licence holders or their representatives, in relation to hydraulic fracturing in the Northern Territory</w:t>
      </w:r>
      <w:r w:rsidR="006342D5">
        <w:t xml:space="preserve"> (NT)</w:t>
      </w:r>
      <w:r w:rsidRPr="000D086C">
        <w:t xml:space="preserve">. </w:t>
      </w:r>
    </w:p>
    <w:p w:rsidR="005D19FE" w:rsidRDefault="005D19FE" w:rsidP="005D19FE">
      <w:r w:rsidRPr="000D086C">
        <w:t>The Guideline applies</w:t>
      </w:r>
      <w:r w:rsidR="002F070C">
        <w:t xml:space="preserve"> to</w:t>
      </w:r>
      <w:r w:rsidRPr="000D086C">
        <w:t xml:space="preserve"> on-site seismicity monitoring requirements and a traffic light monitoring system (red, amber, green) during and after a hydraulic fracturing event to monitor and mitigate against the likelihood of an induced significant ‘felt’ seismic event and any associated damage occurring. The data collected will also contribute to seismic risk data sets covering shale gas operations and allow for forecasts of any potential hazards or risk.</w:t>
      </w:r>
    </w:p>
    <w:p w:rsidR="003A1909" w:rsidRPr="000D086C" w:rsidRDefault="003A1909" w:rsidP="005D19FE">
      <w:r>
        <w:t>In 2022</w:t>
      </w:r>
      <w:r w:rsidRPr="000D086C">
        <w:t xml:space="preserve"> </w:t>
      </w:r>
      <w:r>
        <w:t xml:space="preserve">a Ministerial Direction was issued in accordance with section 71 of the </w:t>
      </w:r>
      <w:r w:rsidRPr="003A1909">
        <w:t>Petroleum Act 1984</w:t>
      </w:r>
      <w:r>
        <w:t xml:space="preserve"> (Act) to ensure that all </w:t>
      </w:r>
      <w:r w:rsidRPr="000D086C">
        <w:t xml:space="preserve">hydraulic fracturing operations </w:t>
      </w:r>
      <w:r>
        <w:t xml:space="preserve">in the </w:t>
      </w:r>
      <w:r w:rsidR="006342D5">
        <w:t>NT</w:t>
      </w:r>
      <w:r>
        <w:t xml:space="preserve"> are </w:t>
      </w:r>
      <w:r w:rsidRPr="000D086C">
        <w:t xml:space="preserve">conducted in accordance with </w:t>
      </w:r>
      <w:r>
        <w:t>this Guideline. Th</w:t>
      </w:r>
      <w:r w:rsidR="006342D5">
        <w:t>e</w:t>
      </w:r>
      <w:r>
        <w:t xml:space="preserve"> direction establishes that all relevant </w:t>
      </w:r>
      <w:r w:rsidRPr="000D086C">
        <w:t>Well Operations Management Plan</w:t>
      </w:r>
      <w:r>
        <w:t>s</w:t>
      </w:r>
      <w:r w:rsidRPr="000D086C">
        <w:t xml:space="preserve"> </w:t>
      </w:r>
      <w:r w:rsidR="006342D5">
        <w:t xml:space="preserve">(WOMP) required by the Schedule for Onshore Petroleum Exploration and Production Requirements (Schedule) </w:t>
      </w:r>
      <w:r w:rsidRPr="000D086C">
        <w:t xml:space="preserve">must also have an </w:t>
      </w:r>
      <w:r w:rsidRPr="003A1909">
        <w:t>approved</w:t>
      </w:r>
      <w:r w:rsidRPr="000D086C">
        <w:t xml:space="preserve"> Induced Seismicity Management Plan (ISMP)</w:t>
      </w:r>
      <w:r>
        <w:t xml:space="preserve"> </w:t>
      </w:r>
      <w:r w:rsidR="006342D5">
        <w:t xml:space="preserve">that meets the requirements of this </w:t>
      </w:r>
      <w:r>
        <w:t>Guideline</w:t>
      </w:r>
      <w:r w:rsidRPr="000D086C">
        <w:t>.</w:t>
      </w:r>
    </w:p>
    <w:p w:rsidR="005D19FE" w:rsidRPr="000D086C" w:rsidRDefault="005D19FE" w:rsidP="005D19FE">
      <w:pPr>
        <w:pStyle w:val="Heading3"/>
        <w:numPr>
          <w:ilvl w:val="1"/>
          <w:numId w:val="42"/>
        </w:numPr>
      </w:pPr>
      <w:bookmarkStart w:id="4" w:name="_Toc121920345"/>
      <w:bookmarkStart w:id="5" w:name="_Toc121925465"/>
      <w:bookmarkStart w:id="6" w:name="_Toc122515301"/>
      <w:r w:rsidRPr="000D086C">
        <w:t>Induced seismicity</w:t>
      </w:r>
      <w:bookmarkEnd w:id="4"/>
      <w:bookmarkEnd w:id="5"/>
      <w:bookmarkEnd w:id="6"/>
    </w:p>
    <w:p w:rsidR="005D19FE" w:rsidRPr="000D086C" w:rsidRDefault="005D19FE" w:rsidP="005D19FE">
      <w:r w:rsidRPr="000D086C">
        <w:t>Induced seismicity refers to typically minor earthquakes and tremors that are caused by human activity that alters the stress conditions within the Earth's crust. Most induced earthquakes are of low magnitude.</w:t>
      </w:r>
    </w:p>
    <w:p w:rsidR="005D19FE" w:rsidRPr="000D086C" w:rsidRDefault="005D19FE" w:rsidP="005D19FE">
      <w:bookmarkStart w:id="7" w:name="_Toc114051321"/>
      <w:bookmarkStart w:id="8" w:name="_Toc114051390"/>
      <w:bookmarkStart w:id="9" w:name="_Toc114064058"/>
      <w:bookmarkStart w:id="10" w:name="_Toc114139693"/>
      <w:bookmarkStart w:id="11" w:name="_Toc114139770"/>
      <w:bookmarkStart w:id="12" w:name="_Toc114139856"/>
      <w:bookmarkStart w:id="13" w:name="_Toc114139940"/>
      <w:bookmarkStart w:id="14" w:name="_Toc114140000"/>
      <w:bookmarkEnd w:id="7"/>
      <w:bookmarkEnd w:id="8"/>
      <w:bookmarkEnd w:id="9"/>
      <w:bookmarkEnd w:id="10"/>
      <w:bookmarkEnd w:id="11"/>
      <w:bookmarkEnd w:id="12"/>
      <w:bookmarkEnd w:id="13"/>
      <w:bookmarkEnd w:id="14"/>
      <w:r w:rsidRPr="000D086C">
        <w:t>Low magnitude earthquakes or tremors may occur during hydraulic fracturing. There is potential for induced seismicity to result from the uncontrolled propagation of fractures produced during hydraulic fracturing that may extend for up to several hundred metres in varying directions in the adjacent geological strata.  However, the seismicity caused by hydraulic fracturing mostly has very low magnitudes and is unlikely to be felt or cause infrastructure damage, including damage to any petroleum wells, which are specifically designed to withstand the stress of hydraulic fracturing.</w:t>
      </w:r>
    </w:p>
    <w:p w:rsidR="005D19FE" w:rsidRPr="000D086C" w:rsidRDefault="005D19FE" w:rsidP="005D19FE">
      <w:r w:rsidRPr="000D086C">
        <w:t>Induced seismicity can also be caused by geothermal energy operations, carbon capture and storage, large scale groundwater extraction, loading of artificial water reservoirs, waste water disposal wells and mining activity.</w:t>
      </w:r>
    </w:p>
    <w:p w:rsidR="005D19FE" w:rsidRPr="000D086C" w:rsidRDefault="005D19FE" w:rsidP="005D19FE">
      <w:pPr>
        <w:pStyle w:val="Heading3"/>
        <w:numPr>
          <w:ilvl w:val="1"/>
          <w:numId w:val="42"/>
        </w:numPr>
      </w:pPr>
      <w:bookmarkStart w:id="15" w:name="_Toc114236179"/>
      <w:bookmarkStart w:id="16" w:name="_Toc120087803"/>
      <w:bookmarkStart w:id="17" w:name="_Toc121920346"/>
      <w:bookmarkStart w:id="18" w:name="_Toc121925466"/>
      <w:bookmarkStart w:id="19" w:name="_Toc122515302"/>
      <w:r w:rsidRPr="000D086C">
        <w:t>Traffic Light System</w:t>
      </w:r>
      <w:bookmarkEnd w:id="15"/>
      <w:bookmarkEnd w:id="16"/>
      <w:bookmarkEnd w:id="17"/>
      <w:bookmarkEnd w:id="18"/>
      <w:bookmarkEnd w:id="19"/>
    </w:p>
    <w:p w:rsidR="005D19FE" w:rsidRPr="000D086C" w:rsidRDefault="005D19FE" w:rsidP="005D19FE">
      <w:r w:rsidRPr="000D086C">
        <w:t>A Traffic Light System is a site-specific, real-time, risk management system with three distinct response levels. Each Traffic Light level is determined using observable criteria and triggers specific actions designed to mitigate the associated risk.</w:t>
      </w:r>
    </w:p>
    <w:p w:rsidR="005D19FE" w:rsidRPr="000D086C" w:rsidRDefault="005D19FE" w:rsidP="005D19FE">
      <w:pPr>
        <w:pStyle w:val="Heading1"/>
        <w:keepNext/>
        <w:keepLines/>
        <w:ind w:left="432" w:hanging="432"/>
      </w:pPr>
      <w:bookmarkStart w:id="20" w:name="_Toc114236180"/>
      <w:bookmarkStart w:id="21" w:name="_Toc120087804"/>
      <w:bookmarkStart w:id="22" w:name="_Toc121920347"/>
      <w:bookmarkStart w:id="23" w:name="_Toc121925467"/>
      <w:bookmarkStart w:id="24" w:name="_Toc122515303"/>
      <w:r w:rsidRPr="000D086C">
        <w:t>Induced Seismicity Management Plan (ISMP)</w:t>
      </w:r>
      <w:bookmarkEnd w:id="20"/>
      <w:bookmarkEnd w:id="21"/>
      <w:bookmarkEnd w:id="22"/>
      <w:bookmarkEnd w:id="23"/>
      <w:bookmarkEnd w:id="24"/>
    </w:p>
    <w:p w:rsidR="005D19FE" w:rsidRDefault="005D19FE" w:rsidP="005D19FE">
      <w:r w:rsidRPr="000D086C">
        <w:t xml:space="preserve">A petroleum interest holder must submit an ISMP to the </w:t>
      </w:r>
      <w:r w:rsidR="00F523C5">
        <w:t xml:space="preserve">Senior Executive Director, </w:t>
      </w:r>
      <w:r w:rsidRPr="000D086C">
        <w:t>Energy Development Branch</w:t>
      </w:r>
      <w:r w:rsidR="00180610">
        <w:t>, Department of Industry, Tourism and Trade</w:t>
      </w:r>
      <w:r w:rsidRPr="000D086C">
        <w:t xml:space="preserve"> </w:t>
      </w:r>
      <w:r w:rsidR="00EB7585">
        <w:t xml:space="preserve">(DITT) </w:t>
      </w:r>
      <w:r w:rsidRPr="000D086C">
        <w:t>for assessment at least 30 days prior to commencing hydraulic fracturing operations.</w:t>
      </w:r>
      <w:r w:rsidR="00180610">
        <w:t xml:space="preserve"> </w:t>
      </w:r>
      <w:r w:rsidRPr="000D086C">
        <w:t>An ISMP may be submitted</w:t>
      </w:r>
      <w:r w:rsidR="00445EDF">
        <w:t xml:space="preserve"> for assessment</w:t>
      </w:r>
      <w:r w:rsidRPr="000D086C">
        <w:t xml:space="preserve"> as part of a WOMP or</w:t>
      </w:r>
      <w:r w:rsidR="00502B76">
        <w:t>,</w:t>
      </w:r>
      <w:r w:rsidRPr="000D086C">
        <w:t xml:space="preserve"> where a WOMP has already been approved</w:t>
      </w:r>
      <w:r w:rsidR="00445EDF">
        <w:t>,</w:t>
      </w:r>
      <w:r w:rsidRPr="000D086C">
        <w:t xml:space="preserve"> as an addendum to a WOMP.</w:t>
      </w:r>
    </w:p>
    <w:p w:rsidR="00445EDF" w:rsidRDefault="00445EDF" w:rsidP="005D19FE">
      <w:r>
        <w:t>An ISMP must be approved by the Minister for Mining and Industry, or their Delegate, before hydraulic fracturing operations</w:t>
      </w:r>
      <w:r w:rsidRPr="00445EDF">
        <w:t xml:space="preserve"> </w:t>
      </w:r>
      <w:r>
        <w:t xml:space="preserve">can commence. It is an offence </w:t>
      </w:r>
      <w:r w:rsidR="003A1909">
        <w:t xml:space="preserve">not to comply with </w:t>
      </w:r>
      <w:r w:rsidR="00EB7585">
        <w:t xml:space="preserve">a </w:t>
      </w:r>
      <w:r w:rsidR="006342D5">
        <w:t>Direction issu</w:t>
      </w:r>
      <w:r w:rsidR="00EB7585">
        <w:t>ed under section 71 of the Act</w:t>
      </w:r>
      <w:r w:rsidR="00502B76">
        <w:t>. This includes failure to comply with this Guideline, or an ISMP</w:t>
      </w:r>
      <w:r w:rsidR="00502B76" w:rsidRPr="00502B76">
        <w:t xml:space="preserve"> </w:t>
      </w:r>
      <w:r w:rsidR="00502B76">
        <w:t>approved in accordance with this Guideline.</w:t>
      </w:r>
    </w:p>
    <w:p w:rsidR="005D19FE" w:rsidRPr="000D086C" w:rsidRDefault="005D19FE" w:rsidP="00445EDF">
      <w:pPr>
        <w:keepNext/>
      </w:pPr>
      <w:r w:rsidRPr="000D086C">
        <w:lastRenderedPageBreak/>
        <w:t>An ISMP must include the following components</w:t>
      </w:r>
    </w:p>
    <w:p w:rsidR="005D19FE" w:rsidRPr="000D086C" w:rsidRDefault="005D19FE" w:rsidP="005D19FE">
      <w:pPr>
        <w:pStyle w:val="ListParagraph"/>
        <w:numPr>
          <w:ilvl w:val="0"/>
          <w:numId w:val="45"/>
        </w:numPr>
      </w:pPr>
      <w:r w:rsidRPr="000D086C">
        <w:t>Fault assessment and avoidance</w:t>
      </w:r>
    </w:p>
    <w:p w:rsidR="005D19FE" w:rsidRPr="000D086C" w:rsidRDefault="005D19FE" w:rsidP="005D19FE">
      <w:pPr>
        <w:pStyle w:val="ListParagraph"/>
        <w:numPr>
          <w:ilvl w:val="1"/>
          <w:numId w:val="45"/>
        </w:numPr>
      </w:pPr>
      <w:r w:rsidRPr="000D086C">
        <w:t>Details and location of all known faults and geohazards.</w:t>
      </w:r>
    </w:p>
    <w:p w:rsidR="005D19FE" w:rsidRPr="000D086C" w:rsidRDefault="005D19FE" w:rsidP="005D19FE">
      <w:pPr>
        <w:pStyle w:val="ListParagraph"/>
        <w:numPr>
          <w:ilvl w:val="0"/>
          <w:numId w:val="45"/>
        </w:numPr>
      </w:pPr>
      <w:r w:rsidRPr="000D086C">
        <w:t xml:space="preserve">Monitoring and reporting </w:t>
      </w:r>
    </w:p>
    <w:p w:rsidR="005D19FE" w:rsidRPr="000D086C" w:rsidRDefault="005D19FE" w:rsidP="005D19FE">
      <w:pPr>
        <w:pStyle w:val="ListParagraph"/>
        <w:numPr>
          <w:ilvl w:val="1"/>
          <w:numId w:val="45"/>
        </w:numPr>
      </w:pPr>
      <w:r w:rsidRPr="000D086C">
        <w:t>Details of equipment to be used;</w:t>
      </w:r>
    </w:p>
    <w:p w:rsidR="005D19FE" w:rsidRPr="000D086C" w:rsidRDefault="005D19FE" w:rsidP="005D19FE">
      <w:pPr>
        <w:pStyle w:val="ListParagraph"/>
        <w:numPr>
          <w:ilvl w:val="1"/>
          <w:numId w:val="45"/>
        </w:numPr>
      </w:pPr>
      <w:r w:rsidRPr="000D086C">
        <w:t xml:space="preserve">Proposed location and installation of equipment relative to operations; and </w:t>
      </w:r>
    </w:p>
    <w:p w:rsidR="005D19FE" w:rsidRPr="000D086C" w:rsidRDefault="005D19FE" w:rsidP="005D19FE">
      <w:pPr>
        <w:pStyle w:val="ListParagraph"/>
        <w:numPr>
          <w:ilvl w:val="1"/>
          <w:numId w:val="45"/>
        </w:numPr>
      </w:pPr>
      <w:r w:rsidRPr="000D086C">
        <w:t>Proposed commencement and duration of monitoring.</w:t>
      </w:r>
    </w:p>
    <w:p w:rsidR="005D19FE" w:rsidRPr="000D086C" w:rsidRDefault="005D19FE" w:rsidP="005D19FE">
      <w:pPr>
        <w:pStyle w:val="ListParagraph"/>
        <w:numPr>
          <w:ilvl w:val="1"/>
          <w:numId w:val="45"/>
        </w:numPr>
      </w:pPr>
      <w:r w:rsidRPr="000D086C">
        <w:t>A detailed description of data collection and reporting processes</w:t>
      </w:r>
    </w:p>
    <w:p w:rsidR="005D19FE" w:rsidRPr="000D086C" w:rsidRDefault="005D19FE" w:rsidP="003A1909">
      <w:pPr>
        <w:pStyle w:val="ListParagraph"/>
        <w:numPr>
          <w:ilvl w:val="0"/>
          <w:numId w:val="45"/>
        </w:numPr>
      </w:pPr>
      <w:r w:rsidRPr="000D086C">
        <w:t>Traffic Light System</w:t>
      </w:r>
      <w:r w:rsidR="00445EDF">
        <w:t xml:space="preserve"> and i</w:t>
      </w:r>
      <w:r w:rsidRPr="000D086C">
        <w:t>nclusion of the trigger points included in this Guideline.</w:t>
      </w:r>
    </w:p>
    <w:p w:rsidR="005D19FE" w:rsidRPr="000D086C" w:rsidRDefault="005D19FE" w:rsidP="005D19FE">
      <w:pPr>
        <w:pStyle w:val="ListParagraph"/>
        <w:numPr>
          <w:ilvl w:val="0"/>
          <w:numId w:val="45"/>
        </w:numPr>
      </w:pPr>
      <w:r w:rsidRPr="000D086C">
        <w:t>Reporting and notification required by trigger points</w:t>
      </w:r>
    </w:p>
    <w:p w:rsidR="005D19FE" w:rsidRPr="000D086C" w:rsidRDefault="005D19FE" w:rsidP="005D19FE">
      <w:pPr>
        <w:pStyle w:val="Heading3"/>
        <w:numPr>
          <w:ilvl w:val="1"/>
          <w:numId w:val="46"/>
        </w:numPr>
      </w:pPr>
      <w:bookmarkStart w:id="25" w:name="_Toc114051329"/>
      <w:bookmarkStart w:id="26" w:name="_Toc114051398"/>
      <w:bookmarkStart w:id="27" w:name="_Toc114064066"/>
      <w:bookmarkStart w:id="28" w:name="_Toc114139701"/>
      <w:bookmarkStart w:id="29" w:name="_Toc114139778"/>
      <w:bookmarkStart w:id="30" w:name="_Toc114139864"/>
      <w:bookmarkStart w:id="31" w:name="_Toc114139948"/>
      <w:bookmarkStart w:id="32" w:name="_Toc114140008"/>
      <w:bookmarkStart w:id="33" w:name="_Toc114051331"/>
      <w:bookmarkStart w:id="34" w:name="_Toc114051400"/>
      <w:bookmarkStart w:id="35" w:name="_Toc114064068"/>
      <w:bookmarkStart w:id="36" w:name="_Toc114139703"/>
      <w:bookmarkStart w:id="37" w:name="_Toc114139780"/>
      <w:bookmarkStart w:id="38" w:name="_Toc114139866"/>
      <w:bookmarkStart w:id="39" w:name="_Toc114139950"/>
      <w:bookmarkStart w:id="40" w:name="_Toc114140010"/>
      <w:bookmarkStart w:id="41" w:name="_Toc114051334"/>
      <w:bookmarkStart w:id="42" w:name="_Toc114051403"/>
      <w:bookmarkStart w:id="43" w:name="_Toc114064071"/>
      <w:bookmarkStart w:id="44" w:name="_Toc114139706"/>
      <w:bookmarkStart w:id="45" w:name="_Toc114139783"/>
      <w:bookmarkStart w:id="46" w:name="_Toc114139869"/>
      <w:bookmarkStart w:id="47" w:name="_Toc114139953"/>
      <w:bookmarkStart w:id="48" w:name="_Toc114140013"/>
      <w:bookmarkStart w:id="49" w:name="_Toc114236181"/>
      <w:bookmarkStart w:id="50" w:name="_Toc120087805"/>
      <w:bookmarkStart w:id="51" w:name="_Toc121920348"/>
      <w:bookmarkStart w:id="52" w:name="_Toc121925468"/>
      <w:bookmarkStart w:id="53" w:name="_Toc12251530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D086C">
        <w:t xml:space="preserve">Fault assessment and </w:t>
      </w:r>
      <w:bookmarkEnd w:id="49"/>
      <w:r w:rsidRPr="000D086C">
        <w:t>avoidance</w:t>
      </w:r>
      <w:bookmarkEnd w:id="50"/>
      <w:bookmarkEnd w:id="51"/>
      <w:bookmarkEnd w:id="52"/>
      <w:bookmarkEnd w:id="53"/>
    </w:p>
    <w:p w:rsidR="005D19FE" w:rsidRPr="000D086C" w:rsidRDefault="005D19FE" w:rsidP="005D19FE">
      <w:r w:rsidRPr="000D086C">
        <w:t>The degree of faulting in an area of interest can increase the potential risk of induced seismicity. Therefore induced seismicity risk can be effectively mitigated by characterization of pre-existing geological fault structures, avoiding them during implementation of drilling and wellbore placement, and using experiences from previous operations in the region.</w:t>
      </w:r>
    </w:p>
    <w:p w:rsidR="005D19FE" w:rsidRPr="000D086C" w:rsidRDefault="005D19FE" w:rsidP="005D19FE">
      <w:r w:rsidRPr="000D086C">
        <w:t xml:space="preserve">Petroleum interest holders are required to map the distribution and geometry of geological faults and avoid drilling and hydraulic fracturing activity in proximity of stressed faults. </w:t>
      </w:r>
    </w:p>
    <w:p w:rsidR="005D19FE" w:rsidRPr="000D086C" w:rsidRDefault="005D19FE" w:rsidP="005D19FE">
      <w:r w:rsidRPr="000D086C">
        <w:t xml:space="preserve">If </w:t>
      </w:r>
      <w:r w:rsidR="002F070C">
        <w:t xml:space="preserve">a </w:t>
      </w:r>
      <w:r w:rsidRPr="000D086C">
        <w:t>critically stressed fault or faults are known to exist within 3 kilometres of hydraulic fracturing operations and a seismic event exceeding 0.027g PGA occurs</w:t>
      </w:r>
      <w:r w:rsidR="002F070C">
        <w:t>,</w:t>
      </w:r>
      <w:r w:rsidRPr="000D086C">
        <w:t xml:space="preserve"> additional assessment requirements will be triggered.</w:t>
      </w:r>
    </w:p>
    <w:p w:rsidR="005D19FE" w:rsidRPr="000D086C" w:rsidRDefault="005D19FE" w:rsidP="005D19FE">
      <w:pPr>
        <w:pStyle w:val="Heading3"/>
        <w:numPr>
          <w:ilvl w:val="1"/>
          <w:numId w:val="46"/>
        </w:numPr>
      </w:pPr>
      <w:bookmarkStart w:id="54" w:name="_Toc30661882"/>
      <w:bookmarkStart w:id="55" w:name="_Toc114236182"/>
      <w:bookmarkStart w:id="56" w:name="_Toc120087806"/>
      <w:bookmarkStart w:id="57" w:name="_Toc121920349"/>
      <w:bookmarkStart w:id="58" w:name="_Toc121925469"/>
      <w:bookmarkStart w:id="59" w:name="_Toc122515305"/>
      <w:r w:rsidRPr="000D086C">
        <w:t>Monitoring</w:t>
      </w:r>
      <w:bookmarkEnd w:id="54"/>
      <w:bookmarkEnd w:id="55"/>
      <w:bookmarkEnd w:id="56"/>
      <w:bookmarkEnd w:id="57"/>
      <w:bookmarkEnd w:id="58"/>
      <w:bookmarkEnd w:id="59"/>
    </w:p>
    <w:p w:rsidR="005D19FE" w:rsidRPr="000D086C" w:rsidRDefault="005D19FE" w:rsidP="00F00CC6">
      <w:pPr>
        <w:pStyle w:val="Heading4"/>
        <w:numPr>
          <w:ilvl w:val="2"/>
          <w:numId w:val="46"/>
        </w:numPr>
      </w:pPr>
      <w:bookmarkStart w:id="60" w:name="_Toc120087807"/>
      <w:bookmarkStart w:id="61" w:name="_Toc121920350"/>
      <w:bookmarkStart w:id="62" w:name="_Toc121925470"/>
      <w:bookmarkStart w:id="63" w:name="_Toc122515306"/>
      <w:r w:rsidRPr="000D086C">
        <w:t>Equipment requirements</w:t>
      </w:r>
      <w:bookmarkEnd w:id="60"/>
      <w:bookmarkEnd w:id="61"/>
      <w:bookmarkEnd w:id="62"/>
      <w:bookmarkEnd w:id="63"/>
    </w:p>
    <w:p w:rsidR="005D19FE" w:rsidRPr="000D086C" w:rsidRDefault="005D19FE" w:rsidP="005D19FE">
      <w:r w:rsidRPr="000D086C">
        <w:t xml:space="preserve">Petroleum interest holders are required to install seismic instrumentation to monitor and record potential earthquake ground motion. </w:t>
      </w:r>
    </w:p>
    <w:p w:rsidR="005D19FE" w:rsidRPr="000D086C" w:rsidRDefault="005D19FE" w:rsidP="005D19FE">
      <w:r w:rsidRPr="000D086C">
        <w:t xml:space="preserve">An accelerometer is a vibration sensor that measures acceleration (the rate of change of velocity) of ground motion. Data recorders are required to capture the data obtained from the accelerometer over extended periods of time. </w:t>
      </w:r>
    </w:p>
    <w:p w:rsidR="005D19FE" w:rsidRPr="000D086C" w:rsidRDefault="005D19FE" w:rsidP="005D19FE">
      <w:r w:rsidRPr="000D086C">
        <w:t>Strong motion accelerometers and data recorders must meet the following criteria:</w:t>
      </w:r>
    </w:p>
    <w:p w:rsidR="005D19FE" w:rsidRPr="000D086C" w:rsidRDefault="005D19FE" w:rsidP="005D19FE">
      <w:pPr>
        <w:pStyle w:val="ListParagraph"/>
        <w:numPr>
          <w:ilvl w:val="0"/>
          <w:numId w:val="43"/>
        </w:numPr>
      </w:pPr>
      <w:r w:rsidRPr="000D086C">
        <w:t>Three orthogonal components</w:t>
      </w:r>
    </w:p>
    <w:p w:rsidR="005D19FE" w:rsidRPr="000D086C" w:rsidRDefault="005D19FE" w:rsidP="005D19FE">
      <w:pPr>
        <w:pStyle w:val="ListParagraph"/>
        <w:numPr>
          <w:ilvl w:val="0"/>
          <w:numId w:val="43"/>
        </w:numPr>
      </w:pPr>
      <w:r w:rsidRPr="000D086C">
        <w:t xml:space="preserve">Dynamic range: </w:t>
      </w:r>
      <w:r w:rsidRPr="000D086C">
        <w:rPr>
          <w:rFonts w:cs="Arial"/>
        </w:rPr>
        <w:t xml:space="preserve">± </w:t>
      </w:r>
      <w:r w:rsidRPr="000D086C">
        <w:t>2g</w:t>
      </w:r>
    </w:p>
    <w:p w:rsidR="005D19FE" w:rsidRPr="000D086C" w:rsidRDefault="005D19FE" w:rsidP="005D19FE">
      <w:pPr>
        <w:pStyle w:val="ListParagraph"/>
        <w:numPr>
          <w:ilvl w:val="0"/>
          <w:numId w:val="43"/>
        </w:numPr>
      </w:pPr>
      <w:r w:rsidRPr="000D086C">
        <w:t>Minimum detectability of 0.005 g</w:t>
      </w:r>
    </w:p>
    <w:p w:rsidR="005D19FE" w:rsidRPr="000D086C" w:rsidRDefault="005D19FE" w:rsidP="005D19FE">
      <w:pPr>
        <w:pStyle w:val="ListParagraph"/>
        <w:numPr>
          <w:ilvl w:val="0"/>
          <w:numId w:val="43"/>
        </w:numPr>
      </w:pPr>
      <w:r w:rsidRPr="000D086C">
        <w:t xml:space="preserve">Accurate </w:t>
      </w:r>
      <w:r w:rsidRPr="000D086C">
        <w:rPr>
          <w:rStyle w:val="e24kjd"/>
        </w:rPr>
        <w:t>Global Navigation Satellite System</w:t>
      </w:r>
      <w:r w:rsidRPr="000D086C" w:rsidDel="008C30E6">
        <w:t xml:space="preserve"> </w:t>
      </w:r>
      <w:r w:rsidRPr="000D086C">
        <w:t>(GNSS) timing</w:t>
      </w:r>
    </w:p>
    <w:p w:rsidR="005D19FE" w:rsidRPr="000D086C" w:rsidRDefault="005D19FE" w:rsidP="005D19FE">
      <w:pPr>
        <w:pStyle w:val="ListParagraph"/>
        <w:numPr>
          <w:ilvl w:val="0"/>
          <w:numId w:val="43"/>
        </w:numPr>
      </w:pPr>
      <w:r w:rsidRPr="000D086C">
        <w:t>High-resolution 24-bit recording</w:t>
      </w:r>
    </w:p>
    <w:p w:rsidR="005D19FE" w:rsidRPr="000D086C" w:rsidRDefault="005D19FE" w:rsidP="005D19FE">
      <w:pPr>
        <w:pStyle w:val="ListParagraph"/>
        <w:numPr>
          <w:ilvl w:val="0"/>
          <w:numId w:val="43"/>
        </w:numPr>
      </w:pPr>
      <w:r w:rsidRPr="000D086C">
        <w:t>Sampling rate of at least 200 Hz</w:t>
      </w:r>
    </w:p>
    <w:p w:rsidR="005D19FE" w:rsidRPr="000D086C" w:rsidRDefault="005D19FE" w:rsidP="005D19FE">
      <w:pPr>
        <w:pStyle w:val="ListParagraph"/>
        <w:numPr>
          <w:ilvl w:val="0"/>
          <w:numId w:val="43"/>
        </w:numPr>
      </w:pPr>
      <w:r w:rsidRPr="000D086C">
        <w:t>Capable of continuous data recording</w:t>
      </w:r>
    </w:p>
    <w:p w:rsidR="005D19FE" w:rsidRPr="000D086C" w:rsidRDefault="005D19FE" w:rsidP="005D19FE">
      <w:pPr>
        <w:pStyle w:val="ListParagraph"/>
        <w:numPr>
          <w:ilvl w:val="0"/>
          <w:numId w:val="43"/>
        </w:numPr>
      </w:pPr>
      <w:r w:rsidRPr="000D086C">
        <w:t>Local data storage in Standard for the Exchange of Earthquake Data (SEED) format</w:t>
      </w:r>
    </w:p>
    <w:p w:rsidR="005D19FE" w:rsidRPr="000D086C" w:rsidRDefault="005D19FE" w:rsidP="005D19FE">
      <w:pPr>
        <w:pStyle w:val="ListParagraph"/>
        <w:numPr>
          <w:ilvl w:val="0"/>
          <w:numId w:val="43"/>
        </w:numPr>
      </w:pPr>
      <w:r w:rsidRPr="000D086C">
        <w:lastRenderedPageBreak/>
        <w:t>Capable of real-time data transmission via SeedLink protocol</w:t>
      </w:r>
    </w:p>
    <w:p w:rsidR="005D19FE" w:rsidRPr="000D086C" w:rsidRDefault="005D19FE" w:rsidP="00AD42B9">
      <w:pPr>
        <w:spacing w:before="120"/>
      </w:pPr>
      <w:r w:rsidRPr="000D086C">
        <w:t xml:space="preserve">It is the responsibility of the petroleum interest holder to ensure continuous seismicity monitoring during and after fracturing operations as specified in this guideline. Failure to monitor or provide required reports constitutes an offence. </w:t>
      </w:r>
    </w:p>
    <w:p w:rsidR="005D19FE" w:rsidRPr="000D086C" w:rsidRDefault="005D19FE" w:rsidP="005D19FE">
      <w:pPr>
        <w:pStyle w:val="Heading4"/>
        <w:numPr>
          <w:ilvl w:val="2"/>
          <w:numId w:val="46"/>
        </w:numPr>
      </w:pPr>
      <w:bookmarkStart w:id="64" w:name="_Toc30661884"/>
      <w:bookmarkStart w:id="65" w:name="_Toc120087808"/>
      <w:bookmarkStart w:id="66" w:name="_Toc121920351"/>
      <w:bookmarkStart w:id="67" w:name="_Toc121925471"/>
      <w:bookmarkStart w:id="68" w:name="_Toc122515307"/>
      <w:r w:rsidRPr="000D086C">
        <w:t>Location and installation of accelerometers</w:t>
      </w:r>
      <w:bookmarkEnd w:id="64"/>
      <w:bookmarkEnd w:id="65"/>
      <w:bookmarkEnd w:id="66"/>
      <w:bookmarkEnd w:id="67"/>
      <w:bookmarkEnd w:id="68"/>
    </w:p>
    <w:p w:rsidR="005D19FE" w:rsidRPr="000D086C" w:rsidRDefault="005D19FE" w:rsidP="005D19FE">
      <w:r w:rsidRPr="000D086C">
        <w:t>Petroleum interest holders are required to use at least two ground motion accelerometers per common drilling</w:t>
      </w:r>
      <w:r w:rsidR="002F070C">
        <w:t xml:space="preserve"> well</w:t>
      </w:r>
      <w:r w:rsidRPr="000D086C">
        <w:t xml:space="preserve"> pad location</w:t>
      </w:r>
      <w:r w:rsidR="002F5954">
        <w:t xml:space="preserve"> area</w:t>
      </w:r>
      <w:r w:rsidRPr="000D086C">
        <w:t>.</w:t>
      </w:r>
    </w:p>
    <w:p w:rsidR="005D19FE" w:rsidRPr="000D086C" w:rsidRDefault="005D19FE" w:rsidP="005D19FE">
      <w:r w:rsidRPr="000D086C">
        <w:t xml:space="preserve">To reduce the potential for the noise of the operations and any other industrial activities interfering with the data gathered the accelerometers must be located at least 500 m from the common drilling well pad. </w:t>
      </w:r>
    </w:p>
    <w:p w:rsidR="005D19FE" w:rsidRPr="000D086C" w:rsidRDefault="005D19FE" w:rsidP="005D19FE">
      <w:r w:rsidRPr="000D086C">
        <w:t xml:space="preserve">To ensure accurate detection of vibrations, the accelerometers must not be located further than 2 km from a common drilling well pad. </w:t>
      </w:r>
    </w:p>
    <w:p w:rsidR="005D19FE" w:rsidRPr="000D086C" w:rsidRDefault="005D19FE" w:rsidP="005D19FE">
      <w:r w:rsidRPr="000D086C">
        <w:t xml:space="preserve">Site selection should take all reasonable actions to limit proximity to mechanical noise sources that may reduce the ability of the instrument to monitor induced seismicity at low levels. </w:t>
      </w:r>
    </w:p>
    <w:p w:rsidR="005D19FE" w:rsidRPr="000D086C" w:rsidRDefault="005D19FE" w:rsidP="005D19FE">
      <w:r w:rsidRPr="000D086C">
        <w:t>Accelerometers must be installed to manufacturers’ specifications at depths that allow coupling to competent rock where possible. If not using a posthole instrument, the accelerometer must be anchored to a concrete slab.</w:t>
      </w:r>
    </w:p>
    <w:p w:rsidR="005D19FE" w:rsidRPr="000D086C" w:rsidRDefault="005D19FE" w:rsidP="005D19FE">
      <w:pPr>
        <w:pStyle w:val="Heading4"/>
        <w:numPr>
          <w:ilvl w:val="2"/>
          <w:numId w:val="46"/>
        </w:numPr>
      </w:pPr>
      <w:bookmarkStart w:id="69" w:name="_Toc114236183"/>
      <w:bookmarkStart w:id="70" w:name="_Toc30661885"/>
      <w:bookmarkStart w:id="71" w:name="_Toc120087809"/>
      <w:bookmarkStart w:id="72" w:name="_Toc121920352"/>
      <w:bookmarkStart w:id="73" w:name="_Toc121925472"/>
      <w:bookmarkStart w:id="74" w:name="_Toc122515308"/>
      <w:r w:rsidRPr="000D086C">
        <w:t xml:space="preserve">Monitoring </w:t>
      </w:r>
      <w:bookmarkEnd w:id="69"/>
      <w:bookmarkEnd w:id="70"/>
      <w:r w:rsidRPr="000D086C">
        <w:t>requirements (duration and timing)</w:t>
      </w:r>
      <w:bookmarkEnd w:id="71"/>
      <w:bookmarkEnd w:id="72"/>
      <w:bookmarkEnd w:id="73"/>
      <w:bookmarkEnd w:id="74"/>
    </w:p>
    <w:p w:rsidR="005D19FE" w:rsidRPr="000D086C" w:rsidRDefault="005D19FE" w:rsidP="005D19FE">
      <w:r w:rsidRPr="000D086C">
        <w:t xml:space="preserve">Localised ground motion monitoring must have commenced </w:t>
      </w:r>
      <w:r w:rsidR="00C872F5">
        <w:t xml:space="preserve">two days prior to starting the </w:t>
      </w:r>
      <w:r w:rsidRPr="000D086C">
        <w:t>hydraulic fracturing operation</w:t>
      </w:r>
      <w:r w:rsidR="00C872F5">
        <w:t>,</w:t>
      </w:r>
      <w:r w:rsidRPr="000D086C">
        <w:t xml:space="preserve"> be maintained for the entire duration of those operations</w:t>
      </w:r>
      <w:r w:rsidR="002F5954">
        <w:t xml:space="preserve"> including flowback</w:t>
      </w:r>
      <w:r w:rsidRPr="000D086C">
        <w:t xml:space="preserve">, and </w:t>
      </w:r>
      <w:r w:rsidR="00C872F5">
        <w:t xml:space="preserve">continue </w:t>
      </w:r>
      <w:r w:rsidRPr="000D086C">
        <w:t>for a period of one month after completion of hydraulic fracturing operations.</w:t>
      </w:r>
    </w:p>
    <w:p w:rsidR="005D19FE" w:rsidRPr="000D086C" w:rsidRDefault="005D19FE" w:rsidP="005D19FE">
      <w:r w:rsidRPr="000D086C">
        <w:t xml:space="preserve">If </w:t>
      </w:r>
      <w:r w:rsidR="005F4D44" w:rsidRPr="000D086C">
        <w:t xml:space="preserve">any seismic events of 0.006g </w:t>
      </w:r>
      <w:r w:rsidR="005F4D44">
        <w:t xml:space="preserve">or greater </w:t>
      </w:r>
      <w:r w:rsidR="005F4D44" w:rsidRPr="000D086C">
        <w:t xml:space="preserve">(g is the unit of peak horizontal or vertical ground acceleration) </w:t>
      </w:r>
      <w:r w:rsidR="005F4D44">
        <w:t xml:space="preserve">are detected </w:t>
      </w:r>
      <w:r w:rsidRPr="000D086C">
        <w:t xml:space="preserve">during </w:t>
      </w:r>
      <w:r w:rsidR="005F4D44">
        <w:t>these periods</w:t>
      </w:r>
      <w:r w:rsidRPr="000D086C">
        <w:t>,</w:t>
      </w:r>
      <w:r w:rsidR="005F4D44">
        <w:t xml:space="preserve"> they</w:t>
      </w:r>
      <w:r w:rsidRPr="000D086C">
        <w:t xml:space="preserve"> must be included in the </w:t>
      </w:r>
      <w:r w:rsidR="00C872F5" w:rsidRPr="004014E8">
        <w:t>Ground Motion Monitoring Report</w:t>
      </w:r>
      <w:r w:rsidR="00C872F5" w:rsidRPr="000D086C">
        <w:t xml:space="preserve"> </w:t>
      </w:r>
      <w:r w:rsidR="00C872F5">
        <w:t xml:space="preserve">provided </w:t>
      </w:r>
      <w:r w:rsidRPr="000D086C">
        <w:t>to the</w:t>
      </w:r>
      <w:r w:rsidR="00180610">
        <w:t xml:space="preserve">, </w:t>
      </w:r>
      <w:r w:rsidRPr="000D086C">
        <w:t>Energy Development Branch</w:t>
      </w:r>
      <w:r w:rsidR="00154346">
        <w:t>, DITT</w:t>
      </w:r>
      <w:r w:rsidR="00C872F5">
        <w:t xml:space="preserve"> (see Section 2.2.4 below)</w:t>
      </w:r>
      <w:r w:rsidRPr="000D086C">
        <w:t>.</w:t>
      </w:r>
    </w:p>
    <w:p w:rsidR="005D19FE" w:rsidRPr="000D086C" w:rsidRDefault="005D19FE" w:rsidP="005D19FE">
      <w:pPr>
        <w:pStyle w:val="Heading4"/>
        <w:numPr>
          <w:ilvl w:val="2"/>
          <w:numId w:val="46"/>
        </w:numPr>
      </w:pPr>
      <w:bookmarkStart w:id="75" w:name="_Toc120087810"/>
      <w:bookmarkStart w:id="76" w:name="_Toc121920353"/>
      <w:bookmarkStart w:id="77" w:name="_Toc121925473"/>
      <w:bookmarkStart w:id="78" w:name="_Toc122515309"/>
      <w:r w:rsidRPr="000D086C">
        <w:t>Data submission and reporting requirements</w:t>
      </w:r>
      <w:bookmarkEnd w:id="75"/>
      <w:bookmarkEnd w:id="76"/>
      <w:bookmarkEnd w:id="77"/>
      <w:bookmarkEnd w:id="78"/>
      <w:r w:rsidRPr="000D086C">
        <w:t xml:space="preserve"> </w:t>
      </w:r>
    </w:p>
    <w:p w:rsidR="005D19FE" w:rsidRPr="000D086C" w:rsidRDefault="005D19FE" w:rsidP="005D19FE">
      <w:r w:rsidRPr="000D086C">
        <w:t xml:space="preserve">The titleholder must submit a </w:t>
      </w:r>
      <w:r w:rsidRPr="004014E8">
        <w:t>Ground Motion Monitoring Report</w:t>
      </w:r>
      <w:r w:rsidRPr="000D086C">
        <w:t xml:space="preserve"> within 30 days of completing induced seismicity monitoring.  The report shall include:</w:t>
      </w:r>
    </w:p>
    <w:p w:rsidR="00C872F5" w:rsidRPr="000D086C" w:rsidRDefault="00C872F5" w:rsidP="00C872F5">
      <w:pPr>
        <w:pStyle w:val="ListParagraph"/>
        <w:numPr>
          <w:ilvl w:val="0"/>
          <w:numId w:val="44"/>
        </w:numPr>
      </w:pPr>
      <w:r w:rsidRPr="000D086C">
        <w:t>Location of active wells</w:t>
      </w:r>
    </w:p>
    <w:p w:rsidR="005D19FE" w:rsidRPr="000D086C" w:rsidRDefault="005D19FE" w:rsidP="005D19FE">
      <w:pPr>
        <w:pStyle w:val="ListParagraph"/>
        <w:numPr>
          <w:ilvl w:val="0"/>
          <w:numId w:val="44"/>
        </w:numPr>
      </w:pPr>
      <w:r w:rsidRPr="000D086C">
        <w:t>A chronology of hydraulic fracturing operations</w:t>
      </w:r>
    </w:p>
    <w:p w:rsidR="005D19FE" w:rsidRPr="000D086C" w:rsidRDefault="005D19FE" w:rsidP="005D19FE">
      <w:pPr>
        <w:pStyle w:val="ListParagraph"/>
        <w:numPr>
          <w:ilvl w:val="0"/>
          <w:numId w:val="44"/>
        </w:numPr>
      </w:pPr>
      <w:r w:rsidRPr="000D086C">
        <w:t>Instrument metadata, including location of the strong-motion sensor and instrument response information</w:t>
      </w:r>
    </w:p>
    <w:p w:rsidR="005D19FE" w:rsidRPr="000D086C" w:rsidRDefault="005D19FE" w:rsidP="005D19FE">
      <w:pPr>
        <w:pStyle w:val="ListParagraph"/>
        <w:numPr>
          <w:ilvl w:val="0"/>
          <w:numId w:val="44"/>
        </w:numPr>
      </w:pPr>
      <w:r w:rsidRPr="000D086C">
        <w:t>A separate list of PGA values for seismic events exceeding 0.006g on any component</w:t>
      </w:r>
    </w:p>
    <w:p w:rsidR="005D19FE" w:rsidRPr="000D086C" w:rsidRDefault="005D19FE" w:rsidP="005D19FE">
      <w:pPr>
        <w:pStyle w:val="ListParagraph"/>
        <w:numPr>
          <w:ilvl w:val="0"/>
          <w:numId w:val="44"/>
        </w:numPr>
      </w:pPr>
      <w:r w:rsidRPr="000D086C">
        <w:t xml:space="preserve">Segmented time-series data in miniSEED format for events with PGA exceeding 0.006g.  Segmented data should include at least 2 minutes of pre-event data and 5 minutes of data from the </w:t>
      </w:r>
      <w:r w:rsidRPr="000D086C">
        <w:rPr>
          <w:i/>
        </w:rPr>
        <w:t>P</w:t>
      </w:r>
      <w:r w:rsidRPr="000D086C">
        <w:t>-wave arrival.  Continuous data for the full monitoring period may also be contributed.</w:t>
      </w:r>
    </w:p>
    <w:p w:rsidR="005D19FE" w:rsidRPr="000D086C" w:rsidRDefault="005D19FE" w:rsidP="005D19FE">
      <w:pPr>
        <w:pStyle w:val="ListParagraph"/>
        <w:numPr>
          <w:ilvl w:val="0"/>
          <w:numId w:val="44"/>
        </w:numPr>
      </w:pPr>
      <w:r w:rsidRPr="000D086C">
        <w:t>Digital time-series data of injection volumes and wellhead pressure.</w:t>
      </w:r>
    </w:p>
    <w:p w:rsidR="00AD42B9" w:rsidRPr="000D086C" w:rsidRDefault="005D19FE" w:rsidP="005D19FE">
      <w:pPr>
        <w:spacing w:before="240"/>
        <w:sectPr w:rsidR="00AD42B9" w:rsidRPr="000D086C" w:rsidSect="00AD42B9">
          <w:footerReference w:type="default" r:id="rId14"/>
          <w:headerReference w:type="first" r:id="rId15"/>
          <w:pgSz w:w="11906" w:h="16838" w:code="9"/>
          <w:pgMar w:top="794" w:right="794" w:bottom="794" w:left="794" w:header="794" w:footer="397" w:gutter="0"/>
          <w:cols w:space="708"/>
          <w:docGrid w:linePitch="360"/>
        </w:sectPr>
      </w:pPr>
      <w:r w:rsidRPr="000D086C">
        <w:t>The Energy Development Branch</w:t>
      </w:r>
      <w:r w:rsidR="00154346">
        <w:t>, DITT</w:t>
      </w:r>
      <w:r w:rsidRPr="000D086C">
        <w:t xml:space="preserve"> may request ground motion monitoring data at any time</w:t>
      </w:r>
    </w:p>
    <w:p w:rsidR="005D19FE" w:rsidRPr="000D086C" w:rsidRDefault="005D19FE" w:rsidP="005D19FE">
      <w:pPr>
        <w:pStyle w:val="Heading3"/>
        <w:numPr>
          <w:ilvl w:val="1"/>
          <w:numId w:val="46"/>
        </w:numPr>
      </w:pPr>
      <w:bookmarkStart w:id="79" w:name="_Toc122515310"/>
      <w:r w:rsidRPr="000D086C">
        <w:lastRenderedPageBreak/>
        <w:t>Traffic Light System</w:t>
      </w:r>
      <w:bookmarkEnd w:id="79"/>
    </w:p>
    <w:p w:rsidR="005D19FE" w:rsidRPr="000D086C" w:rsidRDefault="005D19FE" w:rsidP="005D19FE">
      <w:pPr>
        <w:pStyle w:val="Heading4"/>
        <w:numPr>
          <w:ilvl w:val="2"/>
          <w:numId w:val="46"/>
        </w:numPr>
      </w:pPr>
      <w:bookmarkStart w:id="80" w:name="_Toc120087812"/>
      <w:bookmarkStart w:id="81" w:name="_Toc121920355"/>
      <w:bookmarkStart w:id="82" w:name="_Toc121925475"/>
      <w:bookmarkStart w:id="83" w:name="_Toc122515311"/>
      <w:r w:rsidRPr="000D086C">
        <w:t>Real time assessment of Peak Ground Acceleration (PGA) and Gravity</w:t>
      </w:r>
      <w:bookmarkEnd w:id="80"/>
      <w:bookmarkEnd w:id="81"/>
      <w:bookmarkEnd w:id="82"/>
      <w:bookmarkEnd w:id="83"/>
    </w:p>
    <w:p w:rsidR="005D19FE" w:rsidRPr="000D086C" w:rsidRDefault="005D19FE" w:rsidP="005D19FE">
      <w:r w:rsidRPr="000D086C">
        <w:t>Building and infrastructure damage from earthquakes can generally be attributed to ground motion. Peak Ground Acceleration (PGA)</w:t>
      </w:r>
      <w:r w:rsidRPr="000D086C">
        <w:rPr>
          <w:rStyle w:val="FootnoteReference"/>
        </w:rPr>
        <w:footnoteReference w:id="2"/>
      </w:r>
      <w:r w:rsidRPr="000D086C">
        <w:t xml:space="preserve"> is a unit used in earthquake engineering and seismic hazard maps, including building codes. Unlike the Richter and moment magnitude scales, it is not a measure of the total energy of an earthquake, but rather of how hard the earth shakes at a given geographic point.</w:t>
      </w:r>
    </w:p>
    <w:p w:rsidR="005D19FE" w:rsidRPr="000D086C" w:rsidRDefault="005D19FE" w:rsidP="005D19FE">
      <w:r w:rsidRPr="000D086C">
        <w:t xml:space="preserve">This Guideline requires continuous monitoring and real time assessment of PGA as an indicator of seismicity. Three trigger points have been identified to inform implementation of the required Traffic Light System as they relate to perceived shaking, and therefore potential for damage. </w:t>
      </w:r>
    </w:p>
    <w:p w:rsidR="005D19FE" w:rsidRPr="000D086C" w:rsidRDefault="005D19FE" w:rsidP="005D19FE">
      <w:r w:rsidRPr="000D086C">
        <w:t>Table 1 below shows how these trigger points correlate to perceived shaking using the Modified Mercalli Intensity Scale. Table 2 describes the actions and required timeframes for implementation that must be undertaken when a seismic event exceeding 0.006g PGA is detected (perceived shaking is greater than ‘light’).</w:t>
      </w:r>
    </w:p>
    <w:p w:rsidR="005D19FE" w:rsidRPr="000D086C" w:rsidRDefault="005D19FE" w:rsidP="005D19FE">
      <w:r w:rsidRPr="000D086C">
        <w:t>Table 1: Indicative PGA conversion equation to Modified Mercalli Intensity top illustrate likely perceived shaking</w:t>
      </w:r>
    </w:p>
    <w:tbl>
      <w:tblPr>
        <w:tblW w:w="82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2552"/>
        <w:gridCol w:w="1701"/>
        <w:gridCol w:w="2268"/>
      </w:tblGrid>
      <w:tr w:rsidR="005D19FE" w:rsidRPr="000D086C" w:rsidTr="00590537">
        <w:trPr>
          <w:trHeight w:val="300"/>
          <w:tblHeader/>
        </w:trPr>
        <w:tc>
          <w:tcPr>
            <w:tcW w:w="1696" w:type="dxa"/>
            <w:shd w:val="clear" w:color="auto" w:fill="1F1F5F" w:themeFill="text1"/>
            <w:noWrap/>
            <w:vAlign w:val="center"/>
            <w:hideMark/>
          </w:tcPr>
          <w:p w:rsidR="005D19FE" w:rsidRPr="000D086C" w:rsidRDefault="005D19FE" w:rsidP="00AD42B9">
            <w:pPr>
              <w:spacing w:after="0"/>
              <w:jc w:val="center"/>
              <w:rPr>
                <w:rFonts w:asciiTheme="minorHAnsi" w:eastAsia="Times New Roman" w:hAnsiTheme="minorHAnsi" w:cstheme="minorHAnsi"/>
                <w:b/>
                <w:color w:val="FFFFFF" w:themeColor="background1"/>
                <w:lang w:eastAsia="en-AU"/>
              </w:rPr>
            </w:pPr>
            <w:r w:rsidRPr="000D086C">
              <w:rPr>
                <w:rFonts w:asciiTheme="minorHAnsi" w:eastAsia="Times New Roman" w:hAnsiTheme="minorHAnsi" w:cstheme="minorHAnsi"/>
                <w:b/>
                <w:color w:val="FFFFFF" w:themeColor="background1"/>
                <w:lang w:eastAsia="en-AU"/>
              </w:rPr>
              <w:t>MMI*</w:t>
            </w:r>
          </w:p>
        </w:tc>
        <w:tc>
          <w:tcPr>
            <w:tcW w:w="2552" w:type="dxa"/>
            <w:shd w:val="clear" w:color="auto" w:fill="1F1F5F" w:themeFill="text1"/>
            <w:noWrap/>
            <w:vAlign w:val="center"/>
            <w:hideMark/>
          </w:tcPr>
          <w:p w:rsidR="005D19FE" w:rsidRPr="000D086C" w:rsidRDefault="005D19FE" w:rsidP="00AD42B9">
            <w:pPr>
              <w:spacing w:after="0"/>
              <w:jc w:val="center"/>
              <w:rPr>
                <w:rFonts w:asciiTheme="minorHAnsi" w:eastAsia="Times New Roman" w:hAnsiTheme="minorHAnsi" w:cstheme="minorHAnsi"/>
                <w:b/>
                <w:color w:val="FFFFFF" w:themeColor="background1"/>
                <w:lang w:eastAsia="en-AU"/>
              </w:rPr>
            </w:pPr>
            <w:r w:rsidRPr="000D086C">
              <w:rPr>
                <w:rFonts w:asciiTheme="minorHAnsi" w:eastAsia="Times New Roman" w:hAnsiTheme="minorHAnsi" w:cstheme="minorHAnsi"/>
                <w:b/>
                <w:color w:val="FFFFFF" w:themeColor="background1"/>
                <w:lang w:eastAsia="en-AU"/>
              </w:rPr>
              <w:t>Perceived Shaking</w:t>
            </w:r>
          </w:p>
        </w:tc>
        <w:tc>
          <w:tcPr>
            <w:tcW w:w="1701" w:type="dxa"/>
            <w:shd w:val="clear" w:color="auto" w:fill="1F1F5F" w:themeFill="text1"/>
            <w:vAlign w:val="center"/>
          </w:tcPr>
          <w:p w:rsidR="005D19FE" w:rsidRPr="000D086C" w:rsidRDefault="005D19FE" w:rsidP="00AD42B9">
            <w:pPr>
              <w:spacing w:after="0"/>
              <w:jc w:val="center"/>
              <w:rPr>
                <w:rFonts w:asciiTheme="minorHAnsi" w:eastAsia="Times New Roman" w:hAnsiTheme="minorHAnsi" w:cstheme="minorHAnsi"/>
                <w:b/>
                <w:color w:val="FFFFFF" w:themeColor="background1"/>
                <w:lang w:eastAsia="en-AU"/>
              </w:rPr>
            </w:pPr>
            <w:r w:rsidRPr="000D086C">
              <w:rPr>
                <w:rFonts w:asciiTheme="minorHAnsi" w:eastAsia="Times New Roman" w:hAnsiTheme="minorHAnsi" w:cstheme="minorHAnsi"/>
                <w:b/>
                <w:color w:val="FFFFFF" w:themeColor="background1"/>
                <w:lang w:eastAsia="en-AU"/>
              </w:rPr>
              <w:t>g  PGA**</w:t>
            </w:r>
          </w:p>
        </w:tc>
        <w:tc>
          <w:tcPr>
            <w:tcW w:w="2268" w:type="dxa"/>
            <w:shd w:val="clear" w:color="auto" w:fill="1F1F5F" w:themeFill="text1"/>
            <w:vAlign w:val="center"/>
          </w:tcPr>
          <w:p w:rsidR="005D19FE" w:rsidRPr="000D086C" w:rsidRDefault="005D19FE" w:rsidP="00AD42B9">
            <w:pPr>
              <w:spacing w:after="0"/>
              <w:jc w:val="center"/>
              <w:rPr>
                <w:rFonts w:asciiTheme="minorHAnsi" w:eastAsia="Times New Roman" w:hAnsiTheme="minorHAnsi" w:cstheme="minorHAnsi"/>
                <w:b/>
                <w:color w:val="FFFFFF" w:themeColor="background1"/>
                <w:lang w:eastAsia="en-AU"/>
              </w:rPr>
            </w:pPr>
            <w:r w:rsidRPr="000D086C">
              <w:rPr>
                <w:rFonts w:asciiTheme="minorHAnsi" w:eastAsia="Times New Roman" w:hAnsiTheme="minorHAnsi" w:cstheme="minorHAnsi"/>
                <w:b/>
                <w:color w:val="FFFFFF" w:themeColor="background1"/>
                <w:lang w:eastAsia="en-AU"/>
              </w:rPr>
              <w:t>TLS Trigger Point</w:t>
            </w:r>
          </w:p>
        </w:tc>
      </w:tr>
      <w:tr w:rsidR="005D19FE" w:rsidRPr="000D086C" w:rsidTr="00AD42B9">
        <w:trPr>
          <w:trHeight w:val="300"/>
        </w:trPr>
        <w:tc>
          <w:tcPr>
            <w:tcW w:w="1696" w:type="dxa"/>
            <w:shd w:val="clear" w:color="auto" w:fill="B8ED9B"/>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I</w:t>
            </w:r>
          </w:p>
        </w:tc>
        <w:tc>
          <w:tcPr>
            <w:tcW w:w="2552" w:type="dxa"/>
            <w:shd w:val="clear" w:color="auto" w:fill="B8ED9B"/>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Not felt</w:t>
            </w:r>
          </w:p>
        </w:tc>
        <w:tc>
          <w:tcPr>
            <w:tcW w:w="1701" w:type="dxa"/>
            <w:shd w:val="clear" w:color="auto" w:fill="B8ED9B"/>
            <w:vAlign w:val="bottom"/>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0.0003</w:t>
            </w:r>
          </w:p>
        </w:tc>
        <w:tc>
          <w:tcPr>
            <w:tcW w:w="2268" w:type="dxa"/>
            <w:vMerge w:val="restart"/>
            <w:shd w:val="clear" w:color="auto" w:fill="B8ED9B"/>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No trigger</w:t>
            </w:r>
          </w:p>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&lt;0.006g</w:t>
            </w:r>
          </w:p>
        </w:tc>
      </w:tr>
      <w:tr w:rsidR="005D19FE" w:rsidRPr="000D086C" w:rsidTr="00AD42B9">
        <w:trPr>
          <w:trHeight w:val="300"/>
        </w:trPr>
        <w:tc>
          <w:tcPr>
            <w:tcW w:w="1696" w:type="dxa"/>
            <w:shd w:val="clear" w:color="auto" w:fill="B8ED9B"/>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II</w:t>
            </w:r>
          </w:p>
        </w:tc>
        <w:tc>
          <w:tcPr>
            <w:tcW w:w="2552" w:type="dxa"/>
            <w:shd w:val="clear" w:color="auto" w:fill="B8ED9B"/>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Weak</w:t>
            </w:r>
          </w:p>
        </w:tc>
        <w:tc>
          <w:tcPr>
            <w:tcW w:w="1701" w:type="dxa"/>
            <w:shd w:val="clear" w:color="auto" w:fill="B8ED9B"/>
            <w:vAlign w:val="bottom"/>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0.0014</w:t>
            </w:r>
          </w:p>
        </w:tc>
        <w:tc>
          <w:tcPr>
            <w:tcW w:w="2268" w:type="dxa"/>
            <w:vMerge/>
            <w:shd w:val="clear" w:color="auto" w:fill="B8ED9B"/>
          </w:tcPr>
          <w:p w:rsidR="005D19FE" w:rsidRPr="000D086C" w:rsidRDefault="005D19FE" w:rsidP="00AD42B9">
            <w:pPr>
              <w:spacing w:before="40" w:after="40"/>
              <w:jc w:val="center"/>
              <w:rPr>
                <w:rFonts w:asciiTheme="minorHAnsi" w:eastAsia="Times New Roman" w:hAnsiTheme="minorHAnsi" w:cstheme="minorHAnsi"/>
                <w:color w:val="000000"/>
                <w:lang w:eastAsia="en-AU"/>
              </w:rPr>
            </w:pPr>
          </w:p>
        </w:tc>
      </w:tr>
      <w:tr w:rsidR="005D19FE" w:rsidRPr="000D086C" w:rsidTr="00AD42B9">
        <w:trPr>
          <w:trHeight w:val="300"/>
        </w:trPr>
        <w:tc>
          <w:tcPr>
            <w:tcW w:w="1696" w:type="dxa"/>
            <w:shd w:val="clear" w:color="auto" w:fill="F7EB95"/>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III</w:t>
            </w:r>
          </w:p>
        </w:tc>
        <w:tc>
          <w:tcPr>
            <w:tcW w:w="2552" w:type="dxa"/>
            <w:shd w:val="clear" w:color="auto" w:fill="F7EB95"/>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Weak</w:t>
            </w:r>
          </w:p>
        </w:tc>
        <w:tc>
          <w:tcPr>
            <w:tcW w:w="1701" w:type="dxa"/>
            <w:shd w:val="clear" w:color="auto" w:fill="F7EB95"/>
            <w:vAlign w:val="bottom"/>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0.006</w:t>
            </w:r>
          </w:p>
        </w:tc>
        <w:tc>
          <w:tcPr>
            <w:tcW w:w="2268" w:type="dxa"/>
            <w:vMerge w:val="restart"/>
            <w:shd w:val="clear" w:color="auto" w:fill="F7EB95"/>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 xml:space="preserve">Amber trigger </w:t>
            </w:r>
          </w:p>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0.006g – 0.027g PGA</w:t>
            </w:r>
          </w:p>
        </w:tc>
      </w:tr>
      <w:tr w:rsidR="005D19FE" w:rsidRPr="000D086C" w:rsidTr="00AD42B9">
        <w:trPr>
          <w:trHeight w:val="300"/>
        </w:trPr>
        <w:tc>
          <w:tcPr>
            <w:tcW w:w="1696" w:type="dxa"/>
            <w:shd w:val="clear" w:color="auto" w:fill="F7EB95"/>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IV</w:t>
            </w:r>
          </w:p>
        </w:tc>
        <w:tc>
          <w:tcPr>
            <w:tcW w:w="2552" w:type="dxa"/>
            <w:shd w:val="clear" w:color="auto" w:fill="F7EB95"/>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Light</w:t>
            </w:r>
          </w:p>
        </w:tc>
        <w:tc>
          <w:tcPr>
            <w:tcW w:w="1701" w:type="dxa"/>
            <w:shd w:val="clear" w:color="auto" w:fill="F7EB95"/>
            <w:vAlign w:val="bottom"/>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0.027</w:t>
            </w:r>
          </w:p>
        </w:tc>
        <w:tc>
          <w:tcPr>
            <w:tcW w:w="2268" w:type="dxa"/>
            <w:vMerge/>
            <w:shd w:val="clear" w:color="auto" w:fill="F7EB95"/>
          </w:tcPr>
          <w:p w:rsidR="005D19FE" w:rsidRPr="000D086C" w:rsidRDefault="005D19FE" w:rsidP="00AD42B9">
            <w:pPr>
              <w:spacing w:before="40" w:after="40"/>
              <w:jc w:val="center"/>
              <w:rPr>
                <w:rFonts w:asciiTheme="minorHAnsi" w:eastAsia="Times New Roman" w:hAnsiTheme="minorHAnsi" w:cstheme="minorHAnsi"/>
                <w:color w:val="000000"/>
                <w:lang w:eastAsia="en-AU"/>
              </w:rPr>
            </w:pPr>
          </w:p>
        </w:tc>
      </w:tr>
      <w:tr w:rsidR="005D19FE" w:rsidRPr="000D086C" w:rsidTr="00AD42B9">
        <w:trPr>
          <w:trHeight w:val="300"/>
        </w:trPr>
        <w:tc>
          <w:tcPr>
            <w:tcW w:w="1696"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V</w:t>
            </w:r>
          </w:p>
        </w:tc>
        <w:tc>
          <w:tcPr>
            <w:tcW w:w="2552"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Moderate</w:t>
            </w:r>
          </w:p>
        </w:tc>
        <w:tc>
          <w:tcPr>
            <w:tcW w:w="1701" w:type="dxa"/>
            <w:shd w:val="clear" w:color="auto" w:fill="DA95A0" w:themeFill="accent1" w:themeFillTint="99"/>
            <w:vAlign w:val="bottom"/>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0.062</w:t>
            </w:r>
          </w:p>
        </w:tc>
        <w:tc>
          <w:tcPr>
            <w:tcW w:w="2268" w:type="dxa"/>
            <w:vMerge w:val="restart"/>
            <w:shd w:val="clear" w:color="auto" w:fill="DA95A0" w:themeFill="accent1" w:themeFillTint="99"/>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p>
          <w:p w:rsidR="005D19FE" w:rsidRPr="000D086C" w:rsidRDefault="005D19FE" w:rsidP="00AD42B9">
            <w:pPr>
              <w:spacing w:before="40" w:after="40"/>
              <w:jc w:val="center"/>
              <w:rPr>
                <w:rFonts w:asciiTheme="minorHAnsi" w:eastAsia="Times New Roman" w:hAnsiTheme="minorHAnsi" w:cstheme="minorHAnsi"/>
                <w:b/>
                <w:color w:val="000000"/>
                <w:lang w:eastAsia="en-AU"/>
              </w:rPr>
            </w:pPr>
          </w:p>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 xml:space="preserve">Red trigger </w:t>
            </w:r>
          </w:p>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&gt;0.027g PGA</w:t>
            </w:r>
          </w:p>
        </w:tc>
      </w:tr>
      <w:tr w:rsidR="005D19FE" w:rsidRPr="000D086C" w:rsidTr="00AD42B9">
        <w:trPr>
          <w:trHeight w:val="300"/>
        </w:trPr>
        <w:tc>
          <w:tcPr>
            <w:tcW w:w="1696"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VI</w:t>
            </w:r>
          </w:p>
        </w:tc>
        <w:tc>
          <w:tcPr>
            <w:tcW w:w="2552"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Strong</w:t>
            </w:r>
          </w:p>
        </w:tc>
        <w:tc>
          <w:tcPr>
            <w:tcW w:w="1701" w:type="dxa"/>
            <w:shd w:val="clear" w:color="auto" w:fill="DA95A0" w:themeFill="accent1" w:themeFillTint="99"/>
            <w:vAlign w:val="bottom"/>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0.12</w:t>
            </w:r>
          </w:p>
        </w:tc>
        <w:tc>
          <w:tcPr>
            <w:tcW w:w="2268" w:type="dxa"/>
            <w:vMerge/>
            <w:shd w:val="clear" w:color="auto" w:fill="DA95A0" w:themeFill="accent1" w:themeFillTint="99"/>
          </w:tcPr>
          <w:p w:rsidR="005D19FE" w:rsidRPr="000D086C" w:rsidRDefault="005D19FE" w:rsidP="00AD42B9">
            <w:pPr>
              <w:spacing w:after="0"/>
              <w:jc w:val="center"/>
              <w:rPr>
                <w:rFonts w:asciiTheme="minorHAnsi" w:eastAsia="Times New Roman" w:hAnsiTheme="minorHAnsi" w:cstheme="minorHAnsi"/>
                <w:b/>
                <w:color w:val="000000"/>
                <w:lang w:eastAsia="en-AU"/>
              </w:rPr>
            </w:pPr>
          </w:p>
        </w:tc>
      </w:tr>
      <w:tr w:rsidR="005D19FE" w:rsidRPr="000D086C" w:rsidTr="00AD42B9">
        <w:trPr>
          <w:trHeight w:val="300"/>
        </w:trPr>
        <w:tc>
          <w:tcPr>
            <w:tcW w:w="1696"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VII</w:t>
            </w:r>
          </w:p>
        </w:tc>
        <w:tc>
          <w:tcPr>
            <w:tcW w:w="2552"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Very Strong</w:t>
            </w:r>
          </w:p>
        </w:tc>
        <w:tc>
          <w:tcPr>
            <w:tcW w:w="1701" w:type="dxa"/>
            <w:shd w:val="clear" w:color="auto" w:fill="DA95A0" w:themeFill="accent1" w:themeFillTint="99"/>
            <w:vAlign w:val="bottom"/>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0.22</w:t>
            </w:r>
          </w:p>
        </w:tc>
        <w:tc>
          <w:tcPr>
            <w:tcW w:w="2268" w:type="dxa"/>
            <w:vMerge/>
            <w:shd w:val="clear" w:color="auto" w:fill="DA95A0" w:themeFill="accent1" w:themeFillTint="99"/>
          </w:tcPr>
          <w:p w:rsidR="005D19FE" w:rsidRPr="000D086C" w:rsidRDefault="005D19FE" w:rsidP="00AD42B9">
            <w:pPr>
              <w:spacing w:after="0"/>
              <w:jc w:val="center"/>
              <w:rPr>
                <w:rFonts w:asciiTheme="minorHAnsi" w:eastAsia="Times New Roman" w:hAnsiTheme="minorHAnsi" w:cstheme="minorHAnsi"/>
                <w:b/>
                <w:color w:val="000000"/>
                <w:lang w:eastAsia="en-AU"/>
              </w:rPr>
            </w:pPr>
          </w:p>
        </w:tc>
      </w:tr>
      <w:tr w:rsidR="005D19FE" w:rsidRPr="000D086C" w:rsidTr="00AD42B9">
        <w:trPr>
          <w:trHeight w:val="300"/>
        </w:trPr>
        <w:tc>
          <w:tcPr>
            <w:tcW w:w="1696"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VIII</w:t>
            </w:r>
          </w:p>
        </w:tc>
        <w:tc>
          <w:tcPr>
            <w:tcW w:w="2552"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Severe</w:t>
            </w:r>
          </w:p>
        </w:tc>
        <w:tc>
          <w:tcPr>
            <w:tcW w:w="1701" w:type="dxa"/>
            <w:shd w:val="clear" w:color="auto" w:fill="DA95A0" w:themeFill="accent1" w:themeFillTint="99"/>
            <w:vAlign w:val="bottom"/>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0.40</w:t>
            </w:r>
          </w:p>
        </w:tc>
        <w:tc>
          <w:tcPr>
            <w:tcW w:w="2268" w:type="dxa"/>
            <w:vMerge/>
            <w:shd w:val="clear" w:color="auto" w:fill="DA95A0" w:themeFill="accent1" w:themeFillTint="99"/>
          </w:tcPr>
          <w:p w:rsidR="005D19FE" w:rsidRPr="000D086C" w:rsidRDefault="005D19FE" w:rsidP="00AD42B9">
            <w:pPr>
              <w:spacing w:after="0"/>
              <w:jc w:val="center"/>
              <w:rPr>
                <w:rFonts w:asciiTheme="minorHAnsi" w:eastAsia="Times New Roman" w:hAnsiTheme="minorHAnsi" w:cstheme="minorHAnsi"/>
                <w:b/>
                <w:color w:val="000000"/>
                <w:lang w:eastAsia="en-AU"/>
              </w:rPr>
            </w:pPr>
          </w:p>
        </w:tc>
      </w:tr>
      <w:tr w:rsidR="005D19FE" w:rsidRPr="000D086C" w:rsidTr="00AD42B9">
        <w:trPr>
          <w:trHeight w:val="300"/>
        </w:trPr>
        <w:tc>
          <w:tcPr>
            <w:tcW w:w="1696"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color w:val="000000"/>
                <w:lang w:eastAsia="en-AU"/>
              </w:rPr>
            </w:pPr>
            <w:r w:rsidRPr="000D086C">
              <w:rPr>
                <w:rFonts w:asciiTheme="minorHAnsi" w:eastAsia="Times New Roman" w:hAnsiTheme="minorHAnsi" w:cstheme="minorHAnsi"/>
                <w:color w:val="000000"/>
                <w:lang w:eastAsia="en-AU"/>
              </w:rPr>
              <w:t>IX</w:t>
            </w:r>
          </w:p>
        </w:tc>
        <w:tc>
          <w:tcPr>
            <w:tcW w:w="2552" w:type="dxa"/>
            <w:shd w:val="clear" w:color="auto" w:fill="DA95A0" w:themeFill="accent1" w:themeFillTint="99"/>
            <w:noWrap/>
            <w:vAlign w:val="bottom"/>
            <w:hideMark/>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Violent</w:t>
            </w:r>
          </w:p>
        </w:tc>
        <w:tc>
          <w:tcPr>
            <w:tcW w:w="1701" w:type="dxa"/>
            <w:shd w:val="clear" w:color="auto" w:fill="DA95A0" w:themeFill="accent1" w:themeFillTint="99"/>
            <w:vAlign w:val="bottom"/>
          </w:tcPr>
          <w:p w:rsidR="005D19FE" w:rsidRPr="000D086C" w:rsidRDefault="005D19FE" w:rsidP="00AD42B9">
            <w:pPr>
              <w:spacing w:before="40" w:after="40"/>
              <w:jc w:val="center"/>
              <w:rPr>
                <w:rFonts w:asciiTheme="minorHAnsi" w:eastAsia="Times New Roman" w:hAnsiTheme="minorHAnsi" w:cstheme="minorHAnsi"/>
                <w:b/>
                <w:color w:val="000000"/>
                <w:lang w:eastAsia="en-AU"/>
              </w:rPr>
            </w:pPr>
            <w:r w:rsidRPr="000D086C">
              <w:rPr>
                <w:rFonts w:asciiTheme="minorHAnsi" w:eastAsia="Times New Roman" w:hAnsiTheme="minorHAnsi" w:cstheme="minorHAnsi"/>
                <w:b/>
                <w:color w:val="000000"/>
                <w:lang w:eastAsia="en-AU"/>
              </w:rPr>
              <w:t>0.75</w:t>
            </w:r>
          </w:p>
        </w:tc>
        <w:tc>
          <w:tcPr>
            <w:tcW w:w="2268" w:type="dxa"/>
            <w:vMerge/>
            <w:shd w:val="clear" w:color="auto" w:fill="DA95A0" w:themeFill="accent1" w:themeFillTint="99"/>
          </w:tcPr>
          <w:p w:rsidR="005D19FE" w:rsidRPr="000D086C" w:rsidRDefault="005D19FE" w:rsidP="00AD42B9">
            <w:pPr>
              <w:spacing w:after="0"/>
              <w:jc w:val="center"/>
              <w:rPr>
                <w:rFonts w:asciiTheme="minorHAnsi" w:eastAsia="Times New Roman" w:hAnsiTheme="minorHAnsi" w:cstheme="minorHAnsi"/>
                <w:b/>
                <w:color w:val="000000"/>
                <w:lang w:eastAsia="en-AU"/>
              </w:rPr>
            </w:pPr>
          </w:p>
        </w:tc>
      </w:tr>
    </w:tbl>
    <w:p w:rsidR="005D19FE" w:rsidRPr="000D086C" w:rsidRDefault="005D19FE" w:rsidP="005D19FE">
      <w:pPr>
        <w:spacing w:before="120" w:after="0"/>
        <w:rPr>
          <w:rFonts w:eastAsiaTheme="minorEastAsia"/>
          <w:iCs/>
          <w:sz w:val="20"/>
          <w:szCs w:val="20"/>
        </w:rPr>
      </w:pPr>
      <w:r w:rsidRPr="000D086C">
        <w:rPr>
          <w:rFonts w:eastAsiaTheme="minorEastAsia"/>
          <w:iCs/>
          <w:sz w:val="20"/>
          <w:szCs w:val="20"/>
        </w:rPr>
        <w:t>*MMI - Modified Mercalli Intensity</w:t>
      </w:r>
    </w:p>
    <w:p w:rsidR="005D19FE" w:rsidRPr="000D086C" w:rsidRDefault="005D19FE" w:rsidP="005D19FE">
      <w:pPr>
        <w:autoSpaceDE w:val="0"/>
        <w:autoSpaceDN w:val="0"/>
        <w:adjustRightInd w:val="0"/>
        <w:spacing w:after="0"/>
        <w:rPr>
          <w:rFonts w:eastAsiaTheme="minorEastAsia"/>
          <w:iCs/>
          <w:sz w:val="20"/>
          <w:szCs w:val="20"/>
        </w:rPr>
      </w:pPr>
      <w:r w:rsidRPr="000D086C">
        <w:rPr>
          <w:rFonts w:eastAsiaTheme="minorEastAsia"/>
          <w:iCs/>
          <w:sz w:val="20"/>
          <w:szCs w:val="20"/>
        </w:rPr>
        <w:t>** PGA estimates are based on the PGA-MMI conversion equations of Worden et al (20</w:t>
      </w:r>
      <w:bookmarkStart w:id="84" w:name="_Toc114051338"/>
      <w:bookmarkStart w:id="85" w:name="_Toc114051407"/>
      <w:bookmarkStart w:id="86" w:name="_Toc114064075"/>
      <w:bookmarkStart w:id="87" w:name="_Toc114139710"/>
      <w:bookmarkStart w:id="88" w:name="_Toc114139787"/>
      <w:bookmarkStart w:id="89" w:name="_Toc114139873"/>
      <w:bookmarkStart w:id="90" w:name="_Toc114139957"/>
      <w:bookmarkStart w:id="91" w:name="_Toc114140017"/>
      <w:bookmarkStart w:id="92" w:name="_Toc114051340"/>
      <w:bookmarkStart w:id="93" w:name="_Toc114051409"/>
      <w:bookmarkStart w:id="94" w:name="_Toc114064077"/>
      <w:bookmarkStart w:id="95" w:name="_Toc114139712"/>
      <w:bookmarkStart w:id="96" w:name="_Toc114139789"/>
      <w:bookmarkStart w:id="97" w:name="_Toc114139875"/>
      <w:bookmarkStart w:id="98" w:name="_Toc114139959"/>
      <w:bookmarkStart w:id="99" w:name="_Toc114140019"/>
      <w:bookmarkStart w:id="100" w:name="_Toc114051341"/>
      <w:bookmarkStart w:id="101" w:name="_Toc114051410"/>
      <w:bookmarkStart w:id="102" w:name="_Toc114064078"/>
      <w:bookmarkStart w:id="103" w:name="_Toc114139713"/>
      <w:bookmarkStart w:id="104" w:name="_Toc114139790"/>
      <w:bookmarkStart w:id="105" w:name="_Toc114139876"/>
      <w:bookmarkStart w:id="106" w:name="_Toc114139960"/>
      <w:bookmarkStart w:id="107" w:name="_Toc114140020"/>
      <w:bookmarkStart w:id="108" w:name="_Toc114051342"/>
      <w:bookmarkStart w:id="109" w:name="_Toc114051411"/>
      <w:bookmarkStart w:id="110" w:name="_Toc114064079"/>
      <w:bookmarkStart w:id="111" w:name="_Toc114139714"/>
      <w:bookmarkStart w:id="112" w:name="_Toc114139791"/>
      <w:bookmarkStart w:id="113" w:name="_Toc114139877"/>
      <w:bookmarkStart w:id="114" w:name="_Toc114139961"/>
      <w:bookmarkStart w:id="115" w:name="_Toc11414002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D086C">
        <w:rPr>
          <w:rFonts w:eastAsiaTheme="minorEastAsia"/>
          <w:iCs/>
          <w:sz w:val="20"/>
          <w:szCs w:val="20"/>
        </w:rPr>
        <w:t>12)</w:t>
      </w:r>
    </w:p>
    <w:p w:rsidR="005D19FE" w:rsidRPr="000D086C" w:rsidRDefault="005D19FE" w:rsidP="00E75449">
      <w:pPr>
        <w:rPr>
          <w:lang w:eastAsia="en-AU"/>
        </w:rPr>
        <w:sectPr w:rsidR="005D19FE" w:rsidRPr="000D086C" w:rsidSect="00AD42B9">
          <w:pgSz w:w="11906" w:h="16838" w:code="9"/>
          <w:pgMar w:top="794" w:right="794" w:bottom="794" w:left="794" w:header="794" w:footer="397" w:gutter="0"/>
          <w:cols w:space="708"/>
          <w:docGrid w:linePitch="360"/>
        </w:sectPr>
      </w:pPr>
    </w:p>
    <w:p w:rsidR="0078113D" w:rsidRDefault="0078113D" w:rsidP="0078113D">
      <w:pPr>
        <w:autoSpaceDE w:val="0"/>
        <w:autoSpaceDN w:val="0"/>
        <w:adjustRightInd w:val="0"/>
        <w:spacing w:after="240"/>
      </w:pPr>
      <w:r w:rsidRPr="000D086C">
        <w:lastRenderedPageBreak/>
        <w:t>Table 2: Required actions associated with trigger points in g PGA</w:t>
      </w:r>
    </w:p>
    <w:p w:rsidR="00C306E4" w:rsidRPr="000D086C" w:rsidRDefault="00C306E4" w:rsidP="0078113D">
      <w:pPr>
        <w:autoSpaceDE w:val="0"/>
        <w:autoSpaceDN w:val="0"/>
        <w:adjustRightInd w:val="0"/>
        <w:spacing w:after="240"/>
      </w:pPr>
      <w:r w:rsidRPr="00C306E4">
        <w:rPr>
          <w:noProof/>
          <w:lang w:eastAsia="en-AU"/>
        </w:rPr>
        <w:drawing>
          <wp:inline distT="0" distB="0" distL="0" distR="0">
            <wp:extent cx="9032910" cy="5926455"/>
            <wp:effectExtent l="0" t="0" r="0" b="0"/>
            <wp:docPr id="3" name="Picture 3" descr="This image provides a table that sets out the traffic light triggers for induced seismicity events, along with the actions required and corresponding reporting and notification requirements." title="Traffic Ligh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36582" cy="5928864"/>
                    </a:xfrm>
                    <a:prstGeom prst="rect">
                      <a:avLst/>
                    </a:prstGeom>
                    <a:noFill/>
                    <a:ln>
                      <a:noFill/>
                    </a:ln>
                  </pic:spPr>
                </pic:pic>
              </a:graphicData>
            </a:graphic>
          </wp:inline>
        </w:drawing>
      </w:r>
    </w:p>
    <w:p w:rsidR="00AD42B9" w:rsidRPr="000D086C" w:rsidRDefault="00AD42B9" w:rsidP="005D19FE">
      <w:pPr>
        <w:autoSpaceDE w:val="0"/>
        <w:autoSpaceDN w:val="0"/>
        <w:adjustRightInd w:val="0"/>
        <w:spacing w:after="240"/>
        <w:sectPr w:rsidR="00AD42B9" w:rsidRPr="000D086C" w:rsidSect="0078113D">
          <w:pgSz w:w="16838" w:h="11906" w:orient="landscape" w:code="9"/>
          <w:pgMar w:top="794" w:right="794" w:bottom="794" w:left="794" w:header="397" w:footer="113" w:gutter="0"/>
          <w:cols w:space="708"/>
          <w:titlePg/>
          <w:docGrid w:linePitch="360"/>
        </w:sectPr>
      </w:pPr>
    </w:p>
    <w:p w:rsidR="00AD42B9" w:rsidRPr="000D086C" w:rsidRDefault="00AD42B9" w:rsidP="00AD42B9">
      <w:pPr>
        <w:pStyle w:val="Heading4"/>
        <w:numPr>
          <w:ilvl w:val="2"/>
          <w:numId w:val="46"/>
        </w:numPr>
      </w:pPr>
      <w:bookmarkStart w:id="116" w:name="_Toc114236185"/>
      <w:bookmarkStart w:id="117" w:name="_Toc120087813"/>
      <w:bookmarkStart w:id="118" w:name="_Toc121920356"/>
      <w:bookmarkStart w:id="119" w:name="_Toc121925476"/>
      <w:bookmarkStart w:id="120" w:name="_Toc122515312"/>
      <w:r w:rsidRPr="000D086C">
        <w:lastRenderedPageBreak/>
        <w:t>Red Light</w:t>
      </w:r>
      <w:bookmarkEnd w:id="116"/>
      <w:r w:rsidRPr="000D086C">
        <w:t xml:space="preserve"> – Cease operations</w:t>
      </w:r>
      <w:bookmarkEnd w:id="117"/>
      <w:bookmarkEnd w:id="118"/>
      <w:bookmarkEnd w:id="119"/>
      <w:bookmarkEnd w:id="120"/>
    </w:p>
    <w:p w:rsidR="00AD42B9" w:rsidRPr="000D086C" w:rsidRDefault="00AD42B9" w:rsidP="00AD42B9">
      <w:pPr>
        <w:autoSpaceDE w:val="0"/>
        <w:autoSpaceDN w:val="0"/>
        <w:adjustRightInd w:val="0"/>
        <w:spacing w:before="40" w:after="40"/>
      </w:pPr>
      <w:r w:rsidRPr="000D086C">
        <w:t>In the event that seismic event of greater than 0.027g PGA is detected, the petroleum interest holder must immediately cease operations.</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 xml:space="preserve">Immediately following cessation of operations, the site and surrounds must be assessed for damage and immediate impacts. </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Within 2 hours of the event/events, the petroleum interest holder must notify the Energy Development Branch, DITT of the seismic event/events and provide Report on immediate impacts and consequences.</w:t>
      </w:r>
    </w:p>
    <w:p w:rsidR="00AD42B9" w:rsidRPr="000D086C" w:rsidRDefault="00AD42B9" w:rsidP="00AD42B9">
      <w:pPr>
        <w:autoSpaceDE w:val="0"/>
        <w:autoSpaceDN w:val="0"/>
        <w:adjustRightInd w:val="0"/>
        <w:spacing w:after="0"/>
      </w:pPr>
    </w:p>
    <w:p w:rsidR="00AD42B9" w:rsidRDefault="00AD42B9" w:rsidP="00AD42B9">
      <w:pPr>
        <w:autoSpaceDE w:val="0"/>
        <w:autoSpaceDN w:val="0"/>
        <w:adjustRightInd w:val="0"/>
        <w:spacing w:after="0"/>
      </w:pPr>
      <w:r w:rsidRPr="000D086C">
        <w:t>Within 6 hours of the event/events the petroleum interest holder must submit a Specific Event Report to the Energy Development Branch, DITT. This report should provide preliminary advice on the assessments that have taken place and the extent of damage that has been documented. The Report must describe any ongoing risks related to the seismic event that have been identified and what mitigative actio</w:t>
      </w:r>
      <w:r w:rsidR="00F00CC6">
        <w:t>n, if any, has been undertaken.</w:t>
      </w:r>
    </w:p>
    <w:p w:rsidR="00F00CC6" w:rsidRPr="000D086C" w:rsidRDefault="00F00CC6"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 xml:space="preserve">Within 48 hours more comprehensive reporting is required in the form a Ground Motion Monitoring Report (see section 2.2.4). In addition to standard content, the Ground Motion Monitoring Report should provide updated information on assessments and findings pertaining to damage and risks. The Report must include an analysis of all time-series data relevant to the event or events. </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 xml:space="preserve">Operations cannot be resumed until a </w:t>
      </w:r>
      <w:r w:rsidRPr="00C872F5">
        <w:rPr>
          <w:b/>
        </w:rPr>
        <w:t>Seismicity Mitigation Plan</w:t>
      </w:r>
      <w:r w:rsidRPr="000D086C">
        <w:t xml:space="preserve"> has been submitted to and approved by the </w:t>
      </w:r>
      <w:r w:rsidR="00180610">
        <w:t xml:space="preserve">Senior Executive Director, </w:t>
      </w:r>
      <w:r w:rsidRPr="000D086C">
        <w:t>Energy Development Branch</w:t>
      </w:r>
      <w:r w:rsidR="00154346">
        <w:t>, DITT</w:t>
      </w:r>
      <w:r w:rsidR="00C872F5">
        <w:t xml:space="preserve"> (s</w:t>
      </w:r>
      <w:r w:rsidRPr="000D086C">
        <w:t>ee Section 2.3.6</w:t>
      </w:r>
      <w:r w:rsidR="00C872F5">
        <w:t>)</w:t>
      </w:r>
      <w:r w:rsidRPr="000D086C">
        <w:t xml:space="preserve">. </w:t>
      </w:r>
    </w:p>
    <w:p w:rsidR="00AD42B9" w:rsidRPr="000D086C" w:rsidRDefault="00AD42B9" w:rsidP="00AD42B9">
      <w:pPr>
        <w:pStyle w:val="Heading4"/>
        <w:numPr>
          <w:ilvl w:val="2"/>
          <w:numId w:val="46"/>
        </w:numPr>
      </w:pPr>
      <w:bookmarkStart w:id="121" w:name="_Toc114236186"/>
      <w:bookmarkStart w:id="122" w:name="_Toc120087814"/>
      <w:bookmarkStart w:id="123" w:name="_Toc121920357"/>
      <w:bookmarkStart w:id="124" w:name="_Toc121925477"/>
      <w:bookmarkStart w:id="125" w:name="_Toc122515313"/>
      <w:r w:rsidRPr="000D086C">
        <w:t>Amber Light</w:t>
      </w:r>
      <w:bookmarkEnd w:id="121"/>
      <w:r w:rsidRPr="000D086C">
        <w:t xml:space="preserve"> – Report and monitor</w:t>
      </w:r>
      <w:bookmarkEnd w:id="122"/>
      <w:bookmarkEnd w:id="123"/>
      <w:bookmarkEnd w:id="124"/>
      <w:bookmarkEnd w:id="125"/>
    </w:p>
    <w:p w:rsidR="00AD42B9" w:rsidRPr="000D086C" w:rsidRDefault="00AD42B9" w:rsidP="00AD42B9">
      <w:pPr>
        <w:autoSpaceDE w:val="0"/>
        <w:autoSpaceDN w:val="0"/>
        <w:adjustRightInd w:val="0"/>
        <w:spacing w:after="0"/>
      </w:pPr>
      <w:r w:rsidRPr="000D086C">
        <w:t>In the event of seismic event between 0.006 </w:t>
      </w:r>
      <w:r w:rsidRPr="000D086C">
        <w:noBreakHyphen/>
        <w:t> 0.027g PGA is detected, or a critically stressed fault is identified within 3 km of hydraulic fracturing operations, a petroleum interest holder must immediately identify any ongoing risk or damage.</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 xml:space="preserve">If damage to petroleum infrastructure that has or could impact integrity is identified, operations must immediately cease and the protocol for a ‘red light’ event must be followed (refer above). </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 xml:space="preserve">Where an amber event has not resulted in increased risk or significant damage, the petroleum interest holder must submit a Specific Event Report to the Energy Development Branch, DITT within 12 hours of the seismic event. </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The Specific Event Report must include segmented time-series data for the event or events and details of the assessment that was carried out to ensure there was no ongoing risk.</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A Ground Motion Monitoring Report will be required within standard timeframes, but should include an analysis of time series data.</w:t>
      </w:r>
    </w:p>
    <w:p w:rsidR="00AD42B9" w:rsidRPr="000D086C" w:rsidRDefault="00AD42B9" w:rsidP="00AD42B9">
      <w:pPr>
        <w:pStyle w:val="Heading4"/>
        <w:numPr>
          <w:ilvl w:val="2"/>
          <w:numId w:val="46"/>
        </w:numPr>
      </w:pPr>
      <w:bookmarkStart w:id="126" w:name="_Toc120087815"/>
      <w:bookmarkStart w:id="127" w:name="_Toc121920358"/>
      <w:bookmarkStart w:id="128" w:name="_Toc121925478"/>
      <w:bookmarkStart w:id="129" w:name="_Toc122515314"/>
      <w:r w:rsidRPr="000D086C">
        <w:t>Green Light – Continue operations</w:t>
      </w:r>
      <w:bookmarkEnd w:id="126"/>
      <w:bookmarkEnd w:id="127"/>
      <w:bookmarkEnd w:id="128"/>
      <w:bookmarkEnd w:id="129"/>
    </w:p>
    <w:p w:rsidR="00AD42B9" w:rsidRPr="000D086C" w:rsidRDefault="00AD42B9" w:rsidP="00AD42B9">
      <w:pPr>
        <w:autoSpaceDE w:val="0"/>
        <w:autoSpaceDN w:val="0"/>
        <w:adjustRightInd w:val="0"/>
        <w:spacing w:after="0"/>
      </w:pPr>
      <w:r w:rsidRPr="000D086C">
        <w:t>If seismic events are continuously less than 0.006g of PGA during an operation the petroleum interest holder can continue operations and monitoring without specific action.</w:t>
      </w:r>
    </w:p>
    <w:p w:rsidR="00AD42B9" w:rsidRPr="000D086C" w:rsidRDefault="00AD42B9" w:rsidP="00AD42B9">
      <w:pPr>
        <w:pStyle w:val="Heading4"/>
        <w:numPr>
          <w:ilvl w:val="2"/>
          <w:numId w:val="46"/>
        </w:numPr>
        <w:sectPr w:rsidR="00AD42B9" w:rsidRPr="000D086C" w:rsidSect="00AD42B9">
          <w:pgSz w:w="11906" w:h="16838" w:code="9"/>
          <w:pgMar w:top="1134" w:right="1134" w:bottom="1134" w:left="1134" w:header="794" w:footer="397" w:gutter="0"/>
          <w:cols w:space="708"/>
          <w:docGrid w:linePitch="360"/>
        </w:sectPr>
      </w:pPr>
      <w:bookmarkStart w:id="130" w:name="_Toc114051355"/>
      <w:bookmarkStart w:id="131" w:name="_Toc114051424"/>
      <w:bookmarkStart w:id="132" w:name="_Toc114064092"/>
      <w:bookmarkStart w:id="133" w:name="_Toc114140037"/>
      <w:bookmarkStart w:id="134" w:name="_Toc114051356"/>
      <w:bookmarkStart w:id="135" w:name="_Toc114051425"/>
      <w:bookmarkStart w:id="136" w:name="_Toc114064093"/>
      <w:bookmarkStart w:id="137" w:name="_Toc114139731"/>
      <w:bookmarkStart w:id="138" w:name="_Toc114139808"/>
      <w:bookmarkStart w:id="139" w:name="_Toc114139894"/>
      <w:bookmarkStart w:id="140" w:name="_Toc114140038"/>
      <w:bookmarkStart w:id="141" w:name="_Toc114051357"/>
      <w:bookmarkStart w:id="142" w:name="_Toc114051426"/>
      <w:bookmarkStart w:id="143" w:name="_Toc114064094"/>
      <w:bookmarkStart w:id="144" w:name="_Toc114139732"/>
      <w:bookmarkStart w:id="145" w:name="_Toc114139809"/>
      <w:bookmarkStart w:id="146" w:name="_Toc114139895"/>
      <w:bookmarkStart w:id="147" w:name="_Toc114140039"/>
      <w:bookmarkStart w:id="148" w:name="_Toc114051358"/>
      <w:bookmarkStart w:id="149" w:name="_Toc114051427"/>
      <w:bookmarkStart w:id="150" w:name="_Toc114064095"/>
      <w:bookmarkStart w:id="151" w:name="_Toc114139733"/>
      <w:bookmarkStart w:id="152" w:name="_Toc114139810"/>
      <w:bookmarkStart w:id="153" w:name="_Toc114139896"/>
      <w:bookmarkStart w:id="154" w:name="_Toc114140040"/>
      <w:bookmarkStart w:id="155" w:name="_Toc114051359"/>
      <w:bookmarkStart w:id="156" w:name="_Toc114051428"/>
      <w:bookmarkStart w:id="157" w:name="_Toc114064096"/>
      <w:bookmarkStart w:id="158" w:name="_Toc114139734"/>
      <w:bookmarkStart w:id="159" w:name="_Toc114139811"/>
      <w:bookmarkStart w:id="160" w:name="_Toc114139897"/>
      <w:bookmarkStart w:id="161" w:name="_Toc114140041"/>
      <w:bookmarkStart w:id="162" w:name="_Toc114051361"/>
      <w:bookmarkStart w:id="163" w:name="_Toc114051430"/>
      <w:bookmarkStart w:id="164" w:name="_Toc114064098"/>
      <w:bookmarkStart w:id="165" w:name="_Toc114139736"/>
      <w:bookmarkStart w:id="166" w:name="_Toc114139813"/>
      <w:bookmarkStart w:id="167" w:name="_Toc114139899"/>
      <w:bookmarkStart w:id="168" w:name="_Toc114140043"/>
      <w:bookmarkStart w:id="169" w:name="_Toc114051362"/>
      <w:bookmarkStart w:id="170" w:name="_Toc114051431"/>
      <w:bookmarkStart w:id="171" w:name="_Toc114064099"/>
      <w:bookmarkStart w:id="172" w:name="_Toc114139737"/>
      <w:bookmarkStart w:id="173" w:name="_Toc114139814"/>
      <w:bookmarkStart w:id="174" w:name="_Toc114139900"/>
      <w:bookmarkStart w:id="175" w:name="_Toc114140044"/>
      <w:bookmarkStart w:id="176" w:name="_Toc114051363"/>
      <w:bookmarkStart w:id="177" w:name="_Toc114051432"/>
      <w:bookmarkStart w:id="178" w:name="_Toc114064100"/>
      <w:bookmarkStart w:id="179" w:name="_Toc114139738"/>
      <w:bookmarkStart w:id="180" w:name="_Toc114139815"/>
      <w:bookmarkStart w:id="181" w:name="_Toc114139901"/>
      <w:bookmarkStart w:id="182" w:name="_Toc114140045"/>
      <w:bookmarkStart w:id="183" w:name="_Toc114051364"/>
      <w:bookmarkStart w:id="184" w:name="_Toc114051433"/>
      <w:bookmarkStart w:id="185" w:name="_Toc114064101"/>
      <w:bookmarkStart w:id="186" w:name="_Toc114139739"/>
      <w:bookmarkStart w:id="187" w:name="_Toc114139816"/>
      <w:bookmarkStart w:id="188" w:name="_Toc114139902"/>
      <w:bookmarkStart w:id="189" w:name="_Toc114140046"/>
      <w:bookmarkStart w:id="190" w:name="_Toc114051365"/>
      <w:bookmarkStart w:id="191" w:name="_Toc114051434"/>
      <w:bookmarkStart w:id="192" w:name="_Toc114064102"/>
      <w:bookmarkStart w:id="193" w:name="_Toc114139740"/>
      <w:bookmarkStart w:id="194" w:name="_Toc114139817"/>
      <w:bookmarkStart w:id="195" w:name="_Toc114139903"/>
      <w:bookmarkStart w:id="196" w:name="_Toc114140047"/>
      <w:bookmarkStart w:id="197" w:name="_Toc114051366"/>
      <w:bookmarkStart w:id="198" w:name="_Toc114051435"/>
      <w:bookmarkStart w:id="199" w:name="_Toc114064103"/>
      <w:bookmarkStart w:id="200" w:name="_Toc114139741"/>
      <w:bookmarkStart w:id="201" w:name="_Toc114139818"/>
      <w:bookmarkStart w:id="202" w:name="_Toc114139904"/>
      <w:bookmarkStart w:id="203" w:name="_Toc114140048"/>
      <w:bookmarkStart w:id="204" w:name="_Toc114051367"/>
      <w:bookmarkStart w:id="205" w:name="_Toc114051436"/>
      <w:bookmarkStart w:id="206" w:name="_Toc114064104"/>
      <w:bookmarkStart w:id="207" w:name="_Toc114139742"/>
      <w:bookmarkStart w:id="208" w:name="_Toc114139819"/>
      <w:bookmarkStart w:id="209" w:name="_Toc114139905"/>
      <w:bookmarkStart w:id="210" w:name="_Toc114140049"/>
      <w:bookmarkStart w:id="211" w:name="_Toc114051368"/>
      <w:bookmarkStart w:id="212" w:name="_Toc114051437"/>
      <w:bookmarkStart w:id="213" w:name="_Toc114064105"/>
      <w:bookmarkStart w:id="214" w:name="_Toc114139743"/>
      <w:bookmarkStart w:id="215" w:name="_Toc114139820"/>
      <w:bookmarkStart w:id="216" w:name="_Toc114139906"/>
      <w:bookmarkStart w:id="217" w:name="_Toc114140050"/>
      <w:bookmarkStart w:id="218" w:name="_Toc114140051"/>
      <w:bookmarkStart w:id="219" w:name="_Toc114064107"/>
      <w:bookmarkStart w:id="220" w:name="_Toc114139745"/>
      <w:bookmarkStart w:id="221" w:name="_Toc114139822"/>
      <w:bookmarkStart w:id="222" w:name="_Toc114139908"/>
      <w:bookmarkStart w:id="223" w:name="_Toc114140052"/>
      <w:bookmarkStart w:id="224" w:name="_Toc114064112"/>
      <w:bookmarkStart w:id="225" w:name="_Toc114139750"/>
      <w:bookmarkStart w:id="226" w:name="_Toc114139827"/>
      <w:bookmarkStart w:id="227" w:name="_Toc114139913"/>
      <w:bookmarkStart w:id="228" w:name="_Toc114140057"/>
      <w:bookmarkStart w:id="229" w:name="_Toc114064113"/>
      <w:bookmarkStart w:id="230" w:name="_Toc114139751"/>
      <w:bookmarkStart w:id="231" w:name="_Toc114139828"/>
      <w:bookmarkStart w:id="232" w:name="_Toc114139914"/>
      <w:bookmarkStart w:id="233" w:name="_Toc114140058"/>
      <w:bookmarkStart w:id="234" w:name="_Toc114064114"/>
      <w:bookmarkStart w:id="235" w:name="_Toc114139752"/>
      <w:bookmarkStart w:id="236" w:name="_Toc114139829"/>
      <w:bookmarkStart w:id="237" w:name="_Toc114139915"/>
      <w:bookmarkStart w:id="238" w:name="_Toc114140059"/>
      <w:bookmarkStart w:id="239" w:name="_Toc114064116"/>
      <w:bookmarkStart w:id="240" w:name="_Toc114139754"/>
      <w:bookmarkStart w:id="241" w:name="_Toc114139831"/>
      <w:bookmarkStart w:id="242" w:name="_Toc114139917"/>
      <w:bookmarkStart w:id="243" w:name="_Toc114140061"/>
      <w:bookmarkStart w:id="244" w:name="_Toc114064117"/>
      <w:bookmarkStart w:id="245" w:name="_Toc114139755"/>
      <w:bookmarkStart w:id="246" w:name="_Toc114139832"/>
      <w:bookmarkStart w:id="247" w:name="_Toc114139918"/>
      <w:bookmarkStart w:id="248" w:name="_Toc114140062"/>
      <w:bookmarkStart w:id="249" w:name="_Toc120087816"/>
      <w:bookmarkStart w:id="250" w:name="_Toc121920359"/>
      <w:bookmarkStart w:id="251" w:name="_Toc121925479"/>
      <w:bookmarkStart w:id="252" w:name="_Toc11423618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AD42B9" w:rsidRPr="000D086C" w:rsidRDefault="00AD42B9" w:rsidP="00AD42B9">
      <w:pPr>
        <w:pStyle w:val="Heading4"/>
        <w:numPr>
          <w:ilvl w:val="2"/>
          <w:numId w:val="46"/>
        </w:numPr>
      </w:pPr>
      <w:bookmarkStart w:id="253" w:name="_Toc122515315"/>
      <w:r w:rsidRPr="000D086C">
        <w:lastRenderedPageBreak/>
        <w:t>Specific Event Reporting</w:t>
      </w:r>
      <w:bookmarkEnd w:id="249"/>
      <w:bookmarkEnd w:id="250"/>
      <w:bookmarkEnd w:id="251"/>
      <w:bookmarkEnd w:id="253"/>
    </w:p>
    <w:bookmarkEnd w:id="252"/>
    <w:p w:rsidR="00AD42B9" w:rsidRPr="000D086C" w:rsidRDefault="00AD42B9" w:rsidP="00AD42B9">
      <w:pPr>
        <w:autoSpaceDE w:val="0"/>
        <w:autoSpaceDN w:val="0"/>
        <w:adjustRightInd w:val="0"/>
        <w:spacing w:after="0"/>
      </w:pPr>
      <w:r w:rsidRPr="000D086C">
        <w:t xml:space="preserve">In the event that an amber or red event is triggered, the petroleum interest holder is required to submit a Specific Event Report. </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 xml:space="preserve">Specific Event Report for </w:t>
      </w:r>
      <w:r w:rsidRPr="000D086C">
        <w:rPr>
          <w:b/>
        </w:rPr>
        <w:t>an amber seismic event</w:t>
      </w:r>
      <w:r w:rsidRPr="000D086C">
        <w:t xml:space="preserve"> that did not cause damage or increase risk must include:</w:t>
      </w:r>
    </w:p>
    <w:p w:rsidR="00AD42B9" w:rsidRPr="000D086C" w:rsidRDefault="00AD42B9" w:rsidP="00AD42B9">
      <w:pPr>
        <w:autoSpaceDE w:val="0"/>
        <w:autoSpaceDN w:val="0"/>
        <w:adjustRightInd w:val="0"/>
        <w:spacing w:after="0"/>
      </w:pPr>
    </w:p>
    <w:p w:rsidR="00AD42B9" w:rsidRPr="000D086C" w:rsidRDefault="00AD42B9" w:rsidP="00AD42B9">
      <w:pPr>
        <w:pStyle w:val="ListParagraph"/>
        <w:numPr>
          <w:ilvl w:val="0"/>
          <w:numId w:val="48"/>
        </w:numPr>
        <w:autoSpaceDE w:val="0"/>
        <w:autoSpaceDN w:val="0"/>
        <w:adjustRightInd w:val="0"/>
        <w:spacing w:after="0"/>
      </w:pPr>
      <w:r w:rsidRPr="000D086C">
        <w:t>Time series data relevant to the seismic event or events that registered 0.006 </w:t>
      </w:r>
      <w:r w:rsidRPr="000D086C">
        <w:noBreakHyphen/>
        <w:t> 0.027g PGA</w:t>
      </w:r>
    </w:p>
    <w:p w:rsidR="00AD42B9" w:rsidRPr="000D086C" w:rsidRDefault="00AD42B9" w:rsidP="00AD42B9">
      <w:pPr>
        <w:pStyle w:val="ListParagraph"/>
        <w:numPr>
          <w:ilvl w:val="0"/>
          <w:numId w:val="48"/>
        </w:numPr>
        <w:autoSpaceDE w:val="0"/>
        <w:autoSpaceDN w:val="0"/>
        <w:adjustRightInd w:val="0"/>
        <w:spacing w:after="0"/>
      </w:pPr>
      <w:r w:rsidRPr="000D086C">
        <w:t>Details of the assessment that was carried out to ensure there was no ongoing risk.</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 xml:space="preserve">Specific Event Report for </w:t>
      </w:r>
      <w:r w:rsidRPr="000D086C">
        <w:rPr>
          <w:b/>
        </w:rPr>
        <w:t>a red seismic event</w:t>
      </w:r>
      <w:r w:rsidRPr="000D086C">
        <w:t xml:space="preserve"> must include:</w:t>
      </w:r>
    </w:p>
    <w:p w:rsidR="00AD42B9" w:rsidRPr="000D086C" w:rsidRDefault="00AD42B9" w:rsidP="00AD42B9">
      <w:pPr>
        <w:autoSpaceDE w:val="0"/>
        <w:autoSpaceDN w:val="0"/>
        <w:adjustRightInd w:val="0"/>
        <w:spacing w:after="0"/>
      </w:pPr>
    </w:p>
    <w:p w:rsidR="00AD42B9" w:rsidRPr="000D086C" w:rsidRDefault="00AD42B9" w:rsidP="00AD42B9">
      <w:pPr>
        <w:pStyle w:val="ListParagraph"/>
        <w:numPr>
          <w:ilvl w:val="0"/>
          <w:numId w:val="48"/>
        </w:numPr>
        <w:autoSpaceDE w:val="0"/>
        <w:autoSpaceDN w:val="0"/>
        <w:adjustRightInd w:val="0"/>
        <w:spacing w:after="0"/>
      </w:pPr>
      <w:r w:rsidRPr="000D086C">
        <w:t>Time series data</w:t>
      </w:r>
    </w:p>
    <w:p w:rsidR="00AD42B9" w:rsidRPr="000D086C" w:rsidRDefault="00AD42B9" w:rsidP="00AD42B9">
      <w:pPr>
        <w:pStyle w:val="ListParagraph"/>
        <w:numPr>
          <w:ilvl w:val="0"/>
          <w:numId w:val="48"/>
        </w:numPr>
        <w:autoSpaceDE w:val="0"/>
        <w:autoSpaceDN w:val="0"/>
        <w:adjustRightInd w:val="0"/>
        <w:spacing w:after="0"/>
      </w:pPr>
      <w:r w:rsidRPr="000D086C">
        <w:t>Immediate consequences</w:t>
      </w:r>
    </w:p>
    <w:p w:rsidR="00AD42B9" w:rsidRPr="000D086C" w:rsidRDefault="00AD42B9" w:rsidP="00AD42B9">
      <w:pPr>
        <w:pStyle w:val="ListParagraph"/>
        <w:numPr>
          <w:ilvl w:val="0"/>
          <w:numId w:val="48"/>
        </w:numPr>
        <w:autoSpaceDE w:val="0"/>
        <w:autoSpaceDN w:val="0"/>
        <w:adjustRightInd w:val="0"/>
        <w:spacing w:after="0"/>
      </w:pPr>
      <w:r w:rsidRPr="000D086C">
        <w:t>Detail of any damage that has resulted from the seismic event, including:</w:t>
      </w:r>
    </w:p>
    <w:p w:rsidR="00AD42B9" w:rsidRPr="000D086C" w:rsidRDefault="00AD42B9" w:rsidP="00AD42B9">
      <w:pPr>
        <w:pStyle w:val="ListParagraph"/>
        <w:numPr>
          <w:ilvl w:val="1"/>
          <w:numId w:val="48"/>
        </w:numPr>
        <w:autoSpaceDE w:val="0"/>
        <w:autoSpaceDN w:val="0"/>
        <w:adjustRightInd w:val="0"/>
        <w:spacing w:after="0"/>
      </w:pPr>
      <w:r w:rsidRPr="000D086C">
        <w:t>Well integrity;</w:t>
      </w:r>
    </w:p>
    <w:p w:rsidR="00AD42B9" w:rsidRPr="000D086C" w:rsidRDefault="00AD42B9" w:rsidP="00AD42B9">
      <w:pPr>
        <w:pStyle w:val="ListParagraph"/>
        <w:numPr>
          <w:ilvl w:val="1"/>
          <w:numId w:val="48"/>
        </w:numPr>
        <w:autoSpaceDE w:val="0"/>
        <w:autoSpaceDN w:val="0"/>
        <w:adjustRightInd w:val="0"/>
        <w:spacing w:after="0"/>
      </w:pPr>
      <w:r w:rsidRPr="000D086C">
        <w:t>Nearby facilities, including petroleum surface infrastructure;</w:t>
      </w:r>
    </w:p>
    <w:p w:rsidR="00AD42B9" w:rsidRPr="000D086C" w:rsidRDefault="00AD42B9" w:rsidP="00AD42B9">
      <w:pPr>
        <w:pStyle w:val="ListParagraph"/>
        <w:numPr>
          <w:ilvl w:val="1"/>
          <w:numId w:val="48"/>
        </w:numPr>
        <w:autoSpaceDE w:val="0"/>
        <w:autoSpaceDN w:val="0"/>
        <w:adjustRightInd w:val="0"/>
        <w:spacing w:after="0"/>
      </w:pPr>
      <w:r w:rsidRPr="000D086C">
        <w:t>Building and infrastructure</w:t>
      </w:r>
    </w:p>
    <w:p w:rsidR="00AD42B9" w:rsidRPr="000D086C" w:rsidRDefault="00AD42B9" w:rsidP="00AD42B9">
      <w:pPr>
        <w:autoSpaceDE w:val="0"/>
        <w:autoSpaceDN w:val="0"/>
        <w:adjustRightInd w:val="0"/>
        <w:spacing w:after="0"/>
      </w:pPr>
    </w:p>
    <w:p w:rsidR="00AD42B9" w:rsidRPr="000D086C" w:rsidRDefault="00AD42B9" w:rsidP="00AD42B9">
      <w:pPr>
        <w:autoSpaceDE w:val="0"/>
        <w:autoSpaceDN w:val="0"/>
        <w:adjustRightInd w:val="0"/>
        <w:spacing w:after="0"/>
      </w:pPr>
      <w:r w:rsidRPr="000D086C">
        <w:t>In the event that revised risk levels or significant damage resulting from any seismic activity is identified in a Specific Event Report, the following may need to be reviewed and/or revised:</w:t>
      </w:r>
    </w:p>
    <w:p w:rsidR="00AD42B9" w:rsidRPr="000D086C" w:rsidRDefault="00AD42B9" w:rsidP="00AD42B9">
      <w:pPr>
        <w:autoSpaceDE w:val="0"/>
        <w:autoSpaceDN w:val="0"/>
        <w:adjustRightInd w:val="0"/>
        <w:spacing w:after="0"/>
      </w:pPr>
    </w:p>
    <w:p w:rsidR="00AD42B9" w:rsidRPr="000D086C" w:rsidRDefault="00AD42B9" w:rsidP="00AD42B9">
      <w:pPr>
        <w:pStyle w:val="ListParagraph"/>
        <w:numPr>
          <w:ilvl w:val="0"/>
          <w:numId w:val="48"/>
        </w:numPr>
        <w:autoSpaceDE w:val="0"/>
        <w:autoSpaceDN w:val="0"/>
        <w:adjustRightInd w:val="0"/>
        <w:spacing w:after="0"/>
      </w:pPr>
      <w:r w:rsidRPr="000D086C">
        <w:t>Well Operation Management Plan (WOMP)</w:t>
      </w:r>
    </w:p>
    <w:p w:rsidR="00AD42B9" w:rsidRPr="000D086C" w:rsidRDefault="00AD42B9" w:rsidP="00AD42B9">
      <w:pPr>
        <w:pStyle w:val="ListParagraph"/>
        <w:numPr>
          <w:ilvl w:val="0"/>
          <w:numId w:val="48"/>
        </w:numPr>
        <w:autoSpaceDE w:val="0"/>
        <w:autoSpaceDN w:val="0"/>
        <w:adjustRightInd w:val="0"/>
        <w:spacing w:after="0"/>
      </w:pPr>
      <w:r w:rsidRPr="000D086C">
        <w:t>Petroleum Surface Infrastructure Plan (PSIP)</w:t>
      </w:r>
    </w:p>
    <w:p w:rsidR="00AD42B9" w:rsidRPr="000D086C" w:rsidRDefault="00AD42B9" w:rsidP="00AD42B9">
      <w:pPr>
        <w:pStyle w:val="ListParagraph"/>
        <w:numPr>
          <w:ilvl w:val="0"/>
          <w:numId w:val="48"/>
        </w:numPr>
        <w:autoSpaceDE w:val="0"/>
        <w:autoSpaceDN w:val="0"/>
        <w:adjustRightInd w:val="0"/>
        <w:spacing w:after="0"/>
      </w:pPr>
      <w:r w:rsidRPr="000D086C">
        <w:t>Well Barrier Integrity Validation Report (WBIV)</w:t>
      </w:r>
    </w:p>
    <w:p w:rsidR="00AD42B9" w:rsidRPr="000D086C" w:rsidRDefault="00AD42B9" w:rsidP="00AD42B9">
      <w:pPr>
        <w:pStyle w:val="ListParagraph"/>
        <w:numPr>
          <w:ilvl w:val="0"/>
          <w:numId w:val="48"/>
        </w:numPr>
        <w:autoSpaceDE w:val="0"/>
        <w:autoSpaceDN w:val="0"/>
        <w:adjustRightInd w:val="0"/>
        <w:spacing w:after="0"/>
      </w:pPr>
      <w:r w:rsidRPr="000D086C">
        <w:t>Induced Seismicity Management Plan (ISMP)</w:t>
      </w:r>
    </w:p>
    <w:p w:rsidR="00AD42B9" w:rsidRPr="000D086C" w:rsidRDefault="00AD42B9" w:rsidP="00AD42B9">
      <w:pPr>
        <w:pStyle w:val="Heading4"/>
        <w:numPr>
          <w:ilvl w:val="2"/>
          <w:numId w:val="46"/>
        </w:numPr>
      </w:pPr>
      <w:bookmarkStart w:id="254" w:name="_Toc120087817"/>
      <w:bookmarkStart w:id="255" w:name="_Toc121920360"/>
      <w:bookmarkStart w:id="256" w:name="_Toc121925480"/>
      <w:bookmarkStart w:id="257" w:name="_Toc122515316"/>
      <w:r w:rsidRPr="000D086C">
        <w:t>Seismicity Mitigation Plan</w:t>
      </w:r>
      <w:bookmarkEnd w:id="254"/>
      <w:bookmarkEnd w:id="255"/>
      <w:bookmarkEnd w:id="256"/>
      <w:bookmarkEnd w:id="257"/>
    </w:p>
    <w:p w:rsidR="00AD42B9" w:rsidRPr="000D086C" w:rsidRDefault="00AD42B9" w:rsidP="00AD42B9">
      <w:r w:rsidRPr="000D086C">
        <w:t xml:space="preserve">In situations which have resulted in the requirement to cease operations, a Seismicity Mitigation Plan will need to be developed. </w:t>
      </w:r>
    </w:p>
    <w:p w:rsidR="00AD42B9" w:rsidRPr="000D086C" w:rsidRDefault="00AD42B9" w:rsidP="00AD42B9">
      <w:r w:rsidRPr="000D086C">
        <w:t>A Seismicity Mitigation Plan must include strategies to reduce or eliminate the initiation of additional induced seismic events and demonstrate that no aspect of the operation, including well integrity has been compromised. Where applicable</w:t>
      </w:r>
      <w:r w:rsidR="00C60DEC">
        <w:t>,</w:t>
      </w:r>
      <w:r w:rsidRPr="000D086C">
        <w:t xml:space="preserve"> all known critically stressed faults within 3km of the hydraulic fracturing operations must be incorporated into the Seismicity Mitigation Plan. </w:t>
      </w:r>
    </w:p>
    <w:p w:rsidR="00AD42B9" w:rsidRPr="000D086C" w:rsidRDefault="00AD42B9" w:rsidP="00AD42B9">
      <w:r w:rsidRPr="000D086C">
        <w:t>Seismicity Mitigations Plans must be submitted to the Energy Development Branch</w:t>
      </w:r>
      <w:r w:rsidR="00154346">
        <w:t>, DITT</w:t>
      </w:r>
      <w:r w:rsidRPr="000D086C">
        <w:t xml:space="preserve"> for assessment. Operations cannot recommence until a Seismicity Mitigation Plan has been approved</w:t>
      </w:r>
      <w:r w:rsidR="00180610">
        <w:t xml:space="preserve"> by the Senior Executive Director, </w:t>
      </w:r>
      <w:r w:rsidR="00180610" w:rsidRPr="000D086C">
        <w:t>Energy Development Branch, DITT</w:t>
      </w:r>
      <w:r w:rsidR="00180610">
        <w:t>.</w:t>
      </w:r>
    </w:p>
    <w:p w:rsidR="00AD42B9" w:rsidRPr="000D086C" w:rsidRDefault="00AD42B9" w:rsidP="00AD42B9">
      <w:pPr>
        <w:pStyle w:val="Heading4"/>
        <w:numPr>
          <w:ilvl w:val="2"/>
          <w:numId w:val="46"/>
        </w:numPr>
      </w:pPr>
      <w:bookmarkStart w:id="258" w:name="_Toc120087818"/>
      <w:bookmarkStart w:id="259" w:name="_Toc121920361"/>
      <w:bookmarkStart w:id="260" w:name="_Toc121925481"/>
      <w:bookmarkStart w:id="261" w:name="_Toc122515317"/>
      <w:r w:rsidRPr="000D086C">
        <w:t>Submission of reports and notifications</w:t>
      </w:r>
      <w:bookmarkEnd w:id="258"/>
      <w:bookmarkEnd w:id="259"/>
      <w:bookmarkEnd w:id="260"/>
      <w:bookmarkEnd w:id="261"/>
    </w:p>
    <w:p w:rsidR="00AD42B9" w:rsidRPr="000D086C" w:rsidRDefault="00AD42B9" w:rsidP="00AD42B9">
      <w:pPr>
        <w:spacing w:after="120"/>
      </w:pPr>
      <w:r w:rsidRPr="000D086C">
        <w:t>Reports and notifications must be submitted to the Energy Development Branch</w:t>
      </w:r>
      <w:r w:rsidR="000C5D5C">
        <w:t>, DITT</w:t>
      </w:r>
      <w:r w:rsidRPr="000D086C">
        <w:t xml:space="preserve"> at:</w:t>
      </w:r>
    </w:p>
    <w:p w:rsidR="00AD42B9" w:rsidRPr="000D086C" w:rsidRDefault="00AD42B9" w:rsidP="00AD42B9">
      <w:pPr>
        <w:spacing w:after="120"/>
        <w:rPr>
          <w:rStyle w:val="Hyperlink"/>
        </w:rPr>
      </w:pPr>
      <w:r w:rsidRPr="000D086C">
        <w:t xml:space="preserve">Email: </w:t>
      </w:r>
      <w:hyperlink r:id="rId17" w:history="1">
        <w:r w:rsidRPr="000D086C">
          <w:rPr>
            <w:rStyle w:val="Hyperlink"/>
          </w:rPr>
          <w:t>dittpetroleumoperations@nt.gov.au</w:t>
        </w:r>
      </w:hyperlink>
    </w:p>
    <w:p w:rsidR="00AD42B9" w:rsidRPr="000D086C" w:rsidRDefault="00AD42B9" w:rsidP="00AD42B9">
      <w:pPr>
        <w:spacing w:after="120"/>
        <w:rPr>
          <w:rStyle w:val="Hyperlink"/>
        </w:rPr>
      </w:pPr>
      <w:r w:rsidRPr="000D086C">
        <w:t>Emergency telephone, including afterhours 1300 935 250</w:t>
      </w:r>
    </w:p>
    <w:p w:rsidR="00AD42B9" w:rsidRPr="000D086C" w:rsidRDefault="00AD42B9" w:rsidP="00AD42B9">
      <w:pPr>
        <w:pStyle w:val="Heading1"/>
        <w:ind w:left="432" w:hanging="432"/>
        <w:rPr>
          <w:lang w:eastAsia="en-AU"/>
        </w:rPr>
      </w:pPr>
      <w:bookmarkStart w:id="262" w:name="_Toc114139758"/>
      <w:bookmarkStart w:id="263" w:name="_Toc114139835"/>
      <w:bookmarkStart w:id="264" w:name="_Toc114139921"/>
      <w:bookmarkStart w:id="265" w:name="_Toc114140064"/>
      <w:bookmarkStart w:id="266" w:name="_Toc114236190"/>
      <w:bookmarkStart w:id="267" w:name="_Toc120087819"/>
      <w:bookmarkStart w:id="268" w:name="_Toc121920362"/>
      <w:bookmarkStart w:id="269" w:name="_Toc121925482"/>
      <w:bookmarkStart w:id="270" w:name="_Toc122515318"/>
      <w:bookmarkEnd w:id="262"/>
      <w:bookmarkEnd w:id="263"/>
      <w:bookmarkEnd w:id="264"/>
      <w:bookmarkEnd w:id="265"/>
      <w:r w:rsidRPr="000D086C">
        <w:rPr>
          <w:lang w:eastAsia="en-AU"/>
        </w:rPr>
        <w:t>Publication of data</w:t>
      </w:r>
      <w:bookmarkEnd w:id="266"/>
      <w:bookmarkEnd w:id="267"/>
      <w:bookmarkEnd w:id="268"/>
      <w:bookmarkEnd w:id="269"/>
      <w:bookmarkEnd w:id="270"/>
    </w:p>
    <w:p w:rsidR="00AD42B9" w:rsidRPr="000D086C" w:rsidRDefault="00AD42B9" w:rsidP="00AD42B9">
      <w:pPr>
        <w:rPr>
          <w:rStyle w:val="Hyperlink"/>
        </w:rPr>
      </w:pPr>
      <w:r w:rsidRPr="000D086C">
        <w:t>Ground Motion Monitoring R</w:t>
      </w:r>
      <w:r w:rsidR="00F00CC6">
        <w:t>eports will be made public</w:t>
      </w:r>
      <w:r w:rsidRPr="000D086C">
        <w:t xml:space="preserve">ly available on the </w:t>
      </w:r>
      <w:r w:rsidR="000C5D5C">
        <w:t>DITT</w:t>
      </w:r>
      <w:r w:rsidRPr="000D086C">
        <w:t xml:space="preserve"> website.</w:t>
      </w:r>
      <w:bookmarkStart w:id="271" w:name="_Toc114139760"/>
      <w:bookmarkStart w:id="272" w:name="_Toc114139837"/>
      <w:bookmarkStart w:id="273" w:name="_Toc114139923"/>
      <w:bookmarkStart w:id="274" w:name="_Toc114140066"/>
      <w:bookmarkEnd w:id="271"/>
      <w:bookmarkEnd w:id="272"/>
      <w:bookmarkEnd w:id="273"/>
      <w:bookmarkEnd w:id="274"/>
    </w:p>
    <w:p w:rsidR="006D6723" w:rsidRPr="000D086C" w:rsidRDefault="006D6723" w:rsidP="00E75449">
      <w:pPr>
        <w:rPr>
          <w:lang w:eastAsia="en-AU"/>
        </w:rPr>
      </w:pPr>
    </w:p>
    <w:sectPr w:rsidR="006D6723" w:rsidRPr="000D086C" w:rsidSect="00AD42B9">
      <w:pgSz w:w="11906" w:h="16838" w:code="9"/>
      <w:pgMar w:top="794" w:right="794" w:bottom="794" w:left="794" w:header="79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AF" w:rsidRDefault="004002AF">
      <w:r>
        <w:separator/>
      </w:r>
    </w:p>
  </w:endnote>
  <w:endnote w:type="continuationSeparator" w:id="0">
    <w:p w:rsidR="004002AF" w:rsidRDefault="004002AF">
      <w:r>
        <w:continuationSeparator/>
      </w:r>
    </w:p>
  </w:endnote>
  <w:endnote w:type="continuationNotice" w:id="1">
    <w:p w:rsidR="004002AF" w:rsidRDefault="004002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09" w:rsidRPr="00F538BD" w:rsidRDefault="003A1909"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09" w:rsidRPr="00F538BD" w:rsidRDefault="003A1909" w:rsidP="000A385C">
    <w:pPr>
      <w:pStyle w:val="Hidden"/>
      <w:ind w:firstLine="0"/>
      <w:jc w:val="right"/>
    </w:pPr>
  </w:p>
  <w:p w:rsidR="003A1909" w:rsidRDefault="003A190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09" w:rsidRPr="00A50829" w:rsidRDefault="003A1909" w:rsidP="00AD42B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A1909" w:rsidRPr="00132658" w:rsidTr="00AD42B9">
      <w:trPr>
        <w:cantSplit/>
        <w:trHeight w:hRule="exact" w:val="850"/>
        <w:tblHeader/>
      </w:trPr>
      <w:tc>
        <w:tcPr>
          <w:tcW w:w="10318" w:type="dxa"/>
          <w:vAlign w:val="bottom"/>
        </w:tcPr>
        <w:p w:rsidR="003A1909" w:rsidRDefault="003A1909" w:rsidP="00AD42B9">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3A1909" w:rsidRPr="00CE6614" w:rsidRDefault="004002AF" w:rsidP="00AD42B9">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2-21T00:00:00Z">
                <w:dateFormat w:val="d MMMM yyyy"/>
                <w:lid w:val="en-AU"/>
                <w:storeMappedDataAs w:val="dateTime"/>
                <w:calendar w:val="gregorian"/>
              </w:date>
            </w:sdtPr>
            <w:sdtEndPr>
              <w:rPr>
                <w:rStyle w:val="PageNumber"/>
              </w:rPr>
            </w:sdtEndPr>
            <w:sdtContent>
              <w:r w:rsidR="00684610">
                <w:rPr>
                  <w:rStyle w:val="PageNumber"/>
                </w:rPr>
                <w:t>21</w:t>
              </w:r>
              <w:r w:rsidR="003A1909">
                <w:rPr>
                  <w:rStyle w:val="PageNumber"/>
                </w:rPr>
                <w:t xml:space="preserve"> December 2022</w:t>
              </w:r>
            </w:sdtContent>
          </w:sdt>
          <w:r w:rsidR="003A1909">
            <w:rPr>
              <w:rStyle w:val="PageNumber"/>
            </w:rPr>
            <w:t xml:space="preserve"> | Version 0.1</w:t>
          </w:r>
        </w:p>
        <w:p w:rsidR="003A1909" w:rsidRPr="00AC4488" w:rsidRDefault="003A1909" w:rsidP="00AD42B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D5966">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D5966">
            <w:rPr>
              <w:rStyle w:val="PageNumber"/>
              <w:noProof/>
            </w:rPr>
            <w:t>10</w:t>
          </w:r>
          <w:r w:rsidRPr="00AC4488">
            <w:rPr>
              <w:rStyle w:val="PageNumber"/>
            </w:rPr>
            <w:fldChar w:fldCharType="end"/>
          </w:r>
        </w:p>
      </w:tc>
    </w:tr>
  </w:tbl>
  <w:p w:rsidR="003A1909" w:rsidRDefault="003A1909" w:rsidP="00AD42B9">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AF" w:rsidRDefault="004002AF">
      <w:r>
        <w:separator/>
      </w:r>
    </w:p>
  </w:footnote>
  <w:footnote w:type="continuationSeparator" w:id="0">
    <w:p w:rsidR="004002AF" w:rsidRDefault="004002AF">
      <w:r>
        <w:continuationSeparator/>
      </w:r>
    </w:p>
  </w:footnote>
  <w:footnote w:type="continuationNotice" w:id="1">
    <w:p w:rsidR="004002AF" w:rsidRDefault="004002AF">
      <w:pPr>
        <w:spacing w:after="0"/>
      </w:pPr>
    </w:p>
  </w:footnote>
  <w:footnote w:id="2">
    <w:p w:rsidR="003A1909" w:rsidRDefault="003A1909" w:rsidP="005D19FE">
      <w:pPr>
        <w:pStyle w:val="FootnoteText"/>
      </w:pPr>
      <w:r>
        <w:rPr>
          <w:rStyle w:val="FootnoteReference"/>
        </w:rPr>
        <w:footnoteRef/>
      </w:r>
      <w:r>
        <w:t xml:space="preserve"> PGAs are typically measured in units of</w:t>
      </w:r>
      <w:r w:rsidRPr="0040549D">
        <w:t xml:space="preserve"> </w:t>
      </w:r>
      <w:r>
        <w:t xml:space="preserve">‘g’, or gravity, where g is the acceleration due to gravity of the earth.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09" w:rsidRPr="008E0345" w:rsidRDefault="004002AF"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3A1909">
          <w:t>Induced Seismicity Management Guideline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09" w:rsidRDefault="003A1909"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5405"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09" w:rsidRPr="00274F1C" w:rsidRDefault="003A1909" w:rsidP="008E0345">
    <w:pPr>
      <w:pStyle w:val="Header"/>
    </w:pPr>
  </w:p>
  <w:p w:rsidR="003A1909" w:rsidRDefault="003A190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ED859E38B7F54433B51970EB3EADAC38"/>
      </w:placeholder>
      <w:dataBinding w:prefixMappings="xmlns:ns0='http://purl.org/dc/elements/1.1/' xmlns:ns1='http://schemas.openxmlformats.org/package/2006/metadata/core-properties' " w:xpath="/ns1:coreProperties[1]/ns0:title[1]" w:storeItemID="{6C3C8BC8-F283-45AE-878A-BAB7291924A1}"/>
      <w:text/>
    </w:sdtPr>
    <w:sdtEndPr/>
    <w:sdtContent>
      <w:p w:rsidR="003A1909" w:rsidRPr="00964B22" w:rsidRDefault="003A1909" w:rsidP="008E0345">
        <w:pPr>
          <w:pStyle w:val="Header"/>
          <w:rPr>
            <w:b/>
          </w:rPr>
        </w:pPr>
        <w:r>
          <w:t>Induced Seismicity Management Guideline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28F2046"/>
    <w:multiLevelType w:val="hybridMultilevel"/>
    <w:tmpl w:val="A522A9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F6118B"/>
    <w:multiLevelType w:val="hybridMultilevel"/>
    <w:tmpl w:val="C68C86F6"/>
    <w:lvl w:ilvl="0" w:tplc="0C090003">
      <w:start w:val="1"/>
      <w:numFmt w:val="bullet"/>
      <w:lvlText w:val="o"/>
      <w:lvlJc w:val="left"/>
      <w:pPr>
        <w:ind w:left="988" w:hanging="360"/>
      </w:pPr>
      <w:rPr>
        <w:rFonts w:ascii="Courier New" w:hAnsi="Courier New" w:cs="Courier New"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F63436F"/>
    <w:multiLevelType w:val="multilevel"/>
    <w:tmpl w:val="6FB0239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2107B14"/>
    <w:multiLevelType w:val="multilevel"/>
    <w:tmpl w:val="DD60307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0676E3"/>
    <w:multiLevelType w:val="multilevel"/>
    <w:tmpl w:val="FD1CD746"/>
    <w:numStyleLink w:val="Numbered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271F04"/>
    <w:multiLevelType w:val="hybridMultilevel"/>
    <w:tmpl w:val="2738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7046F1"/>
    <w:multiLevelType w:val="hybridMultilevel"/>
    <w:tmpl w:val="7B0CE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2CB786D"/>
    <w:multiLevelType w:val="multilevel"/>
    <w:tmpl w:val="FD1CD746"/>
    <w:numStyleLink w:val="Numberedlist"/>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A28038E"/>
    <w:multiLevelType w:val="hybridMultilevel"/>
    <w:tmpl w:val="3C60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9A5FFE"/>
    <w:multiLevelType w:val="multilevel"/>
    <w:tmpl w:val="0C78A7AC"/>
    <w:name w:val="NTG Table Bullet List33222222222222"/>
    <w:numStyleLink w:val="Tablebulletlist"/>
  </w:abstractNum>
  <w:abstractNum w:abstractNumId="62" w15:restartNumberingAfterBreak="0">
    <w:nsid w:val="5D444259"/>
    <w:multiLevelType w:val="multilevel"/>
    <w:tmpl w:val="0C78A7AC"/>
    <w:name w:val="NTG Table Bullet List332222"/>
    <w:numStyleLink w:val="Tablebulletlist"/>
  </w:abstractNum>
  <w:abstractNum w:abstractNumId="6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3"/>
  </w:num>
  <w:num w:numId="3">
    <w:abstractNumId w:val="73"/>
  </w:num>
  <w:num w:numId="4">
    <w:abstractNumId w:val="46"/>
  </w:num>
  <w:num w:numId="5">
    <w:abstractNumId w:val="28"/>
  </w:num>
  <w:num w:numId="6">
    <w:abstractNumId w:val="15"/>
  </w:num>
  <w:num w:numId="7">
    <w:abstractNumId w:val="51"/>
  </w:num>
  <w:num w:numId="8">
    <w:abstractNumId w:val="26"/>
  </w:num>
  <w:num w:numId="9">
    <w:abstractNumId w:val="58"/>
  </w:num>
  <w:num w:numId="10">
    <w:abstractNumId w:val="20"/>
  </w:num>
  <w:num w:numId="11">
    <w:abstractNumId w:val="65"/>
  </w:num>
  <w:num w:numId="12">
    <w:abstractNumId w:val="17"/>
  </w:num>
  <w:num w:numId="13">
    <w:abstractNumId w:val="1"/>
  </w:num>
  <w:num w:numId="14">
    <w:abstractNumId w:val="63"/>
  </w:num>
  <w:num w:numId="15">
    <w:abstractNumId w:val="27"/>
  </w:num>
  <w:num w:numId="16">
    <w:abstractNumId w:val="64"/>
  </w:num>
  <w:num w:numId="17">
    <w:abstractNumId w:val="70"/>
  </w:num>
  <w:num w:numId="18">
    <w:abstractNumId w:val="57"/>
  </w:num>
  <w:num w:numId="19">
    <w:abstractNumId w:val="49"/>
  </w:num>
  <w:num w:numId="20">
    <w:abstractNumId w:val="53"/>
  </w:num>
  <w:num w:numId="21">
    <w:abstractNumId w:val="40"/>
  </w:num>
  <w:num w:numId="22">
    <w:abstractNumId w:val="56"/>
  </w:num>
  <w:num w:numId="23">
    <w:abstractNumId w:val="48"/>
  </w:num>
  <w:num w:numId="24">
    <w:abstractNumId w:val="43"/>
  </w:num>
  <w:num w:numId="25">
    <w:abstractNumId w:val="37"/>
  </w:num>
  <w:num w:numId="26">
    <w:abstractNumId w:val="12"/>
  </w:num>
  <w:num w:numId="27">
    <w:abstractNumId w:val="71"/>
  </w:num>
  <w:num w:numId="28">
    <w:abstractNumId w:val="36"/>
  </w:num>
  <w:num w:numId="29">
    <w:abstractNumId w:val="29"/>
  </w:num>
  <w:num w:numId="30">
    <w:abstractNumId w:val="0"/>
  </w:num>
  <w:num w:numId="31">
    <w:abstractNumId w:val="42"/>
  </w:num>
  <w:num w:numId="32">
    <w:abstractNumId w:val="11"/>
  </w:num>
  <w:num w:numId="33">
    <w:abstractNumId w:val="66"/>
  </w:num>
  <w:num w:numId="34">
    <w:abstractNumId w:val="32"/>
  </w:num>
  <w:num w:numId="35">
    <w:abstractNumId w:val="72"/>
  </w:num>
  <w:num w:numId="36">
    <w:abstractNumId w:val="59"/>
  </w:num>
  <w:num w:numId="37">
    <w:abstractNumId w:val="4"/>
  </w:num>
  <w:num w:numId="38">
    <w:abstractNumId w:val="35"/>
  </w:num>
  <w:num w:numId="39">
    <w:abstractNumId w:val="50"/>
  </w:num>
  <w:num w:numId="40">
    <w:abstractNumId w:val="39"/>
  </w:num>
  <w:num w:numId="41">
    <w:abstractNumId w:val="2"/>
  </w:num>
  <w:num w:numId="42">
    <w:abstractNumId w:val="22"/>
  </w:num>
  <w:num w:numId="43">
    <w:abstractNumId w:val="60"/>
  </w:num>
  <w:num w:numId="44">
    <w:abstractNumId w:val="41"/>
  </w:num>
  <w:num w:numId="45">
    <w:abstractNumId w:val="45"/>
  </w:num>
  <w:num w:numId="46">
    <w:abstractNumId w:val="21"/>
  </w:num>
  <w:num w:numId="47">
    <w:abstractNumId w:val="9"/>
  </w:num>
  <w:num w:numId="48">
    <w:abstractNumId w:val="8"/>
  </w:num>
  <w:num w:numId="49">
    <w:abstractNumId w:val="7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FE"/>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B53D4"/>
    <w:rsid w:val="000C5D5C"/>
    <w:rsid w:val="000D086C"/>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4346"/>
    <w:rsid w:val="00156CD4"/>
    <w:rsid w:val="00161CC6"/>
    <w:rsid w:val="00164A3E"/>
    <w:rsid w:val="00166FF6"/>
    <w:rsid w:val="00172C77"/>
    <w:rsid w:val="00176123"/>
    <w:rsid w:val="00180610"/>
    <w:rsid w:val="00181620"/>
    <w:rsid w:val="001852AF"/>
    <w:rsid w:val="0019136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E766E"/>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70C"/>
    <w:rsid w:val="002F0DB1"/>
    <w:rsid w:val="002F2885"/>
    <w:rsid w:val="002F32D0"/>
    <w:rsid w:val="002F3CF1"/>
    <w:rsid w:val="002F45A1"/>
    <w:rsid w:val="002F5954"/>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1909"/>
    <w:rsid w:val="003A6341"/>
    <w:rsid w:val="003B173F"/>
    <w:rsid w:val="003B67FD"/>
    <w:rsid w:val="003B6A61"/>
    <w:rsid w:val="003D42C0"/>
    <w:rsid w:val="003D5B29"/>
    <w:rsid w:val="003D7818"/>
    <w:rsid w:val="003E2445"/>
    <w:rsid w:val="003E3BB2"/>
    <w:rsid w:val="003E511B"/>
    <w:rsid w:val="003F5B58"/>
    <w:rsid w:val="004002AF"/>
    <w:rsid w:val="004014E8"/>
    <w:rsid w:val="0040222A"/>
    <w:rsid w:val="004047BC"/>
    <w:rsid w:val="00406497"/>
    <w:rsid w:val="004100F7"/>
    <w:rsid w:val="00414CB3"/>
    <w:rsid w:val="0041563D"/>
    <w:rsid w:val="00420CF5"/>
    <w:rsid w:val="00422874"/>
    <w:rsid w:val="00426E25"/>
    <w:rsid w:val="00427D9C"/>
    <w:rsid w:val="00427E7E"/>
    <w:rsid w:val="004433AE"/>
    <w:rsid w:val="00443B6E"/>
    <w:rsid w:val="00445EDF"/>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3D3"/>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B76"/>
    <w:rsid w:val="00502FB3"/>
    <w:rsid w:val="00503DE9"/>
    <w:rsid w:val="0050530C"/>
    <w:rsid w:val="00505DEA"/>
    <w:rsid w:val="00507782"/>
    <w:rsid w:val="00512A04"/>
    <w:rsid w:val="00513290"/>
    <w:rsid w:val="005249F5"/>
    <w:rsid w:val="005260F7"/>
    <w:rsid w:val="00543BD1"/>
    <w:rsid w:val="0054507C"/>
    <w:rsid w:val="00546D7E"/>
    <w:rsid w:val="00556113"/>
    <w:rsid w:val="00564C12"/>
    <w:rsid w:val="005654B8"/>
    <w:rsid w:val="0057377F"/>
    <w:rsid w:val="005762CC"/>
    <w:rsid w:val="00582D3D"/>
    <w:rsid w:val="00590537"/>
    <w:rsid w:val="00595386"/>
    <w:rsid w:val="005A3621"/>
    <w:rsid w:val="005A4AC0"/>
    <w:rsid w:val="005A5FDF"/>
    <w:rsid w:val="005B0FB7"/>
    <w:rsid w:val="005B122A"/>
    <w:rsid w:val="005B5AC2"/>
    <w:rsid w:val="005C2833"/>
    <w:rsid w:val="005D19FE"/>
    <w:rsid w:val="005D3964"/>
    <w:rsid w:val="005E144D"/>
    <w:rsid w:val="005E1500"/>
    <w:rsid w:val="005E3A43"/>
    <w:rsid w:val="005E51A4"/>
    <w:rsid w:val="005F4D44"/>
    <w:rsid w:val="005F77C7"/>
    <w:rsid w:val="0060030B"/>
    <w:rsid w:val="006145BB"/>
    <w:rsid w:val="00620675"/>
    <w:rsid w:val="00622910"/>
    <w:rsid w:val="006342D5"/>
    <w:rsid w:val="006433C3"/>
    <w:rsid w:val="00650F5B"/>
    <w:rsid w:val="00652DC0"/>
    <w:rsid w:val="00660584"/>
    <w:rsid w:val="006670D7"/>
    <w:rsid w:val="006719EA"/>
    <w:rsid w:val="00671F13"/>
    <w:rsid w:val="0067400A"/>
    <w:rsid w:val="006747E0"/>
    <w:rsid w:val="00684610"/>
    <w:rsid w:val="006847AD"/>
    <w:rsid w:val="00690862"/>
    <w:rsid w:val="00690B7D"/>
    <w:rsid w:val="0069114B"/>
    <w:rsid w:val="006A756A"/>
    <w:rsid w:val="006C396A"/>
    <w:rsid w:val="006D1ADA"/>
    <w:rsid w:val="006D66F7"/>
    <w:rsid w:val="006D6723"/>
    <w:rsid w:val="006E3B5D"/>
    <w:rsid w:val="00702D61"/>
    <w:rsid w:val="007039C9"/>
    <w:rsid w:val="00705C9D"/>
    <w:rsid w:val="00705F13"/>
    <w:rsid w:val="00710401"/>
    <w:rsid w:val="00714F1D"/>
    <w:rsid w:val="00715225"/>
    <w:rsid w:val="00720CC6"/>
    <w:rsid w:val="00722DDB"/>
    <w:rsid w:val="00724728"/>
    <w:rsid w:val="00724F98"/>
    <w:rsid w:val="0073078B"/>
    <w:rsid w:val="00730B9B"/>
    <w:rsid w:val="0073182E"/>
    <w:rsid w:val="007332FF"/>
    <w:rsid w:val="0073520D"/>
    <w:rsid w:val="007372B0"/>
    <w:rsid w:val="007408F5"/>
    <w:rsid w:val="00741EAE"/>
    <w:rsid w:val="0075413F"/>
    <w:rsid w:val="00755248"/>
    <w:rsid w:val="0076190B"/>
    <w:rsid w:val="0076355D"/>
    <w:rsid w:val="00763A2D"/>
    <w:rsid w:val="0077478F"/>
    <w:rsid w:val="007761D8"/>
    <w:rsid w:val="00777795"/>
    <w:rsid w:val="0078113D"/>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36FC2"/>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D5966"/>
    <w:rsid w:val="008E0345"/>
    <w:rsid w:val="008E03FC"/>
    <w:rsid w:val="008E510B"/>
    <w:rsid w:val="00902B13"/>
    <w:rsid w:val="00911941"/>
    <w:rsid w:val="009138A0"/>
    <w:rsid w:val="00925F0F"/>
    <w:rsid w:val="00930C91"/>
    <w:rsid w:val="00932F6B"/>
    <w:rsid w:val="009436D7"/>
    <w:rsid w:val="009436FF"/>
    <w:rsid w:val="0094483E"/>
    <w:rsid w:val="009468BC"/>
    <w:rsid w:val="009616DF"/>
    <w:rsid w:val="00964B22"/>
    <w:rsid w:val="0096542F"/>
    <w:rsid w:val="00967FA7"/>
    <w:rsid w:val="00971645"/>
    <w:rsid w:val="00977919"/>
    <w:rsid w:val="00983000"/>
    <w:rsid w:val="0098673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3B6B"/>
    <w:rsid w:val="009D63FF"/>
    <w:rsid w:val="009E175D"/>
    <w:rsid w:val="009E3CC2"/>
    <w:rsid w:val="009F06BD"/>
    <w:rsid w:val="009F25FD"/>
    <w:rsid w:val="009F2A4D"/>
    <w:rsid w:val="009F3302"/>
    <w:rsid w:val="00A00828"/>
    <w:rsid w:val="00A03290"/>
    <w:rsid w:val="00A07490"/>
    <w:rsid w:val="00A10655"/>
    <w:rsid w:val="00A1197C"/>
    <w:rsid w:val="00A12B64"/>
    <w:rsid w:val="00A22C38"/>
    <w:rsid w:val="00A25193"/>
    <w:rsid w:val="00A26E80"/>
    <w:rsid w:val="00A31AE8"/>
    <w:rsid w:val="00A33710"/>
    <w:rsid w:val="00A3739D"/>
    <w:rsid w:val="00A37DDA"/>
    <w:rsid w:val="00A37ED8"/>
    <w:rsid w:val="00A41B15"/>
    <w:rsid w:val="00A438BA"/>
    <w:rsid w:val="00A45BF7"/>
    <w:rsid w:val="00A71E1C"/>
    <w:rsid w:val="00A925EC"/>
    <w:rsid w:val="00A929AA"/>
    <w:rsid w:val="00A92B6B"/>
    <w:rsid w:val="00A955A9"/>
    <w:rsid w:val="00AA541E"/>
    <w:rsid w:val="00AD0DA4"/>
    <w:rsid w:val="00AD4169"/>
    <w:rsid w:val="00AD42B9"/>
    <w:rsid w:val="00AE25C6"/>
    <w:rsid w:val="00AE306C"/>
    <w:rsid w:val="00AF28C1"/>
    <w:rsid w:val="00AF5F76"/>
    <w:rsid w:val="00B02EF1"/>
    <w:rsid w:val="00B07C97"/>
    <w:rsid w:val="00B07EA1"/>
    <w:rsid w:val="00B10EDC"/>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84A"/>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45EB"/>
    <w:rsid w:val="00BD6FBD"/>
    <w:rsid w:val="00BD7EFC"/>
    <w:rsid w:val="00BD7FE1"/>
    <w:rsid w:val="00BE37CA"/>
    <w:rsid w:val="00BE6144"/>
    <w:rsid w:val="00BE635A"/>
    <w:rsid w:val="00BF17E9"/>
    <w:rsid w:val="00BF2ABB"/>
    <w:rsid w:val="00BF5099"/>
    <w:rsid w:val="00BF5345"/>
    <w:rsid w:val="00C10F10"/>
    <w:rsid w:val="00C15D4D"/>
    <w:rsid w:val="00C175DC"/>
    <w:rsid w:val="00C30171"/>
    <w:rsid w:val="00C306E4"/>
    <w:rsid w:val="00C309D8"/>
    <w:rsid w:val="00C43519"/>
    <w:rsid w:val="00C51537"/>
    <w:rsid w:val="00C52BC3"/>
    <w:rsid w:val="00C60DEC"/>
    <w:rsid w:val="00C61AFA"/>
    <w:rsid w:val="00C61D64"/>
    <w:rsid w:val="00C62099"/>
    <w:rsid w:val="00C64EA3"/>
    <w:rsid w:val="00C72867"/>
    <w:rsid w:val="00C75E81"/>
    <w:rsid w:val="00C75F52"/>
    <w:rsid w:val="00C800F1"/>
    <w:rsid w:val="00C86533"/>
    <w:rsid w:val="00C86609"/>
    <w:rsid w:val="00C872F5"/>
    <w:rsid w:val="00C92B4C"/>
    <w:rsid w:val="00C954F6"/>
    <w:rsid w:val="00CA6BC5"/>
    <w:rsid w:val="00CB6A67"/>
    <w:rsid w:val="00CC61CD"/>
    <w:rsid w:val="00CD5011"/>
    <w:rsid w:val="00CE640F"/>
    <w:rsid w:val="00CE76BC"/>
    <w:rsid w:val="00CF540E"/>
    <w:rsid w:val="00CF548D"/>
    <w:rsid w:val="00D02F07"/>
    <w:rsid w:val="00D23346"/>
    <w:rsid w:val="00D27EBE"/>
    <w:rsid w:val="00D36A49"/>
    <w:rsid w:val="00D517C6"/>
    <w:rsid w:val="00D6019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0A6"/>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3F97"/>
    <w:rsid w:val="00EB7585"/>
    <w:rsid w:val="00EB77F9"/>
    <w:rsid w:val="00EC5769"/>
    <w:rsid w:val="00EC7D00"/>
    <w:rsid w:val="00ED0304"/>
    <w:rsid w:val="00ED087C"/>
    <w:rsid w:val="00EE38FA"/>
    <w:rsid w:val="00EE3E2C"/>
    <w:rsid w:val="00EE5D23"/>
    <w:rsid w:val="00EE750D"/>
    <w:rsid w:val="00EF3CA4"/>
    <w:rsid w:val="00EF5E1F"/>
    <w:rsid w:val="00EF7859"/>
    <w:rsid w:val="00F00CC6"/>
    <w:rsid w:val="00F014DA"/>
    <w:rsid w:val="00F01BE6"/>
    <w:rsid w:val="00F02591"/>
    <w:rsid w:val="00F14273"/>
    <w:rsid w:val="00F24F21"/>
    <w:rsid w:val="00F30056"/>
    <w:rsid w:val="00F328B3"/>
    <w:rsid w:val="00F523C5"/>
    <w:rsid w:val="00F5696E"/>
    <w:rsid w:val="00F60EFF"/>
    <w:rsid w:val="00F679F6"/>
    <w:rsid w:val="00F67D2D"/>
    <w:rsid w:val="00F860CC"/>
    <w:rsid w:val="00F90858"/>
    <w:rsid w:val="00F94398"/>
    <w:rsid w:val="00FA4629"/>
    <w:rsid w:val="00FB0845"/>
    <w:rsid w:val="00FB2B56"/>
    <w:rsid w:val="00FB4E3A"/>
    <w:rsid w:val="00FC12BF"/>
    <w:rsid w:val="00FC1A7C"/>
    <w:rsid w:val="00FC2C60"/>
    <w:rsid w:val="00FC64AB"/>
    <w:rsid w:val="00FD3E6F"/>
    <w:rsid w:val="00FD42DE"/>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EE842-0AEE-417F-975D-E04F6AF7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e24kjd">
    <w:name w:val="e24kjd"/>
    <w:basedOn w:val="DefaultParagraphFont"/>
    <w:rsid w:val="005D19FE"/>
  </w:style>
  <w:style w:type="paragraph" w:styleId="BalloonText">
    <w:name w:val="Balloon Text"/>
    <w:basedOn w:val="Normal"/>
    <w:link w:val="BalloonTextChar"/>
    <w:uiPriority w:val="99"/>
    <w:semiHidden/>
    <w:unhideWhenUsed/>
    <w:rsid w:val="007811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dittpetroleumoperations@nt.gov.au"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wd\Desktop\ntg-long-document-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7E936DC04486298A48E9B11E4A403"/>
        <w:category>
          <w:name w:val="General"/>
          <w:gallery w:val="placeholder"/>
        </w:category>
        <w:types>
          <w:type w:val="bbPlcHdr"/>
        </w:types>
        <w:behaviors>
          <w:behavior w:val="content"/>
        </w:behaviors>
        <w:guid w:val="{180CA742-1EED-418C-9AF2-B6306D4566B2}"/>
      </w:docPartPr>
      <w:docPartBody>
        <w:p w:rsidR="009B7F82" w:rsidRDefault="009B7F82">
          <w:pPr>
            <w:pStyle w:val="2607E936DC04486298A48E9B11E4A403"/>
          </w:pPr>
          <w:r w:rsidRPr="000C7A65">
            <w:rPr>
              <w:rStyle w:val="PlaceholderText"/>
            </w:rPr>
            <w:t>[Title]</w:t>
          </w:r>
        </w:p>
      </w:docPartBody>
    </w:docPart>
    <w:docPart>
      <w:docPartPr>
        <w:name w:val="ED859E38B7F54433B51970EB3EADAC38"/>
        <w:category>
          <w:name w:val="General"/>
          <w:gallery w:val="placeholder"/>
        </w:category>
        <w:types>
          <w:type w:val="bbPlcHdr"/>
        </w:types>
        <w:behaviors>
          <w:behavior w:val="content"/>
        </w:behaviors>
        <w:guid w:val="{D4C65D72-C96B-4A0D-B5A4-EA6259C4B952}"/>
      </w:docPartPr>
      <w:docPartBody>
        <w:p w:rsidR="009B7F82" w:rsidRDefault="009B7F82">
          <w:pPr>
            <w:pStyle w:val="ED859E38B7F54433B51970EB3EADAC38"/>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2"/>
    <w:rsid w:val="00031C56"/>
    <w:rsid w:val="00274FFA"/>
    <w:rsid w:val="00324B12"/>
    <w:rsid w:val="0045626F"/>
    <w:rsid w:val="009B7F82"/>
    <w:rsid w:val="00AE2155"/>
    <w:rsid w:val="00D16BC2"/>
    <w:rsid w:val="00D65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F82"/>
    <w:rPr>
      <w:color w:val="808080"/>
    </w:rPr>
  </w:style>
  <w:style w:type="paragraph" w:customStyle="1" w:styleId="2607E936DC04486298A48E9B11E4A403">
    <w:name w:val="2607E936DC04486298A48E9B11E4A403"/>
  </w:style>
  <w:style w:type="paragraph" w:customStyle="1" w:styleId="52C63F6C3BCE4C8DBAAC61CFFD84BC71">
    <w:name w:val="52C63F6C3BCE4C8DBAAC61CFFD84BC71"/>
  </w:style>
  <w:style w:type="paragraph" w:customStyle="1" w:styleId="ED859E38B7F54433B51970EB3EADAC38">
    <w:name w:val="ED859E38B7F54433B51970EB3EADAC38"/>
  </w:style>
  <w:style w:type="paragraph" w:customStyle="1" w:styleId="4DCB55B2A83B44A49E81977CCCF63BFB">
    <w:name w:val="4DCB55B2A83B44A49E81977CCCF63BFB"/>
    <w:rsid w:val="009B7F82"/>
  </w:style>
  <w:style w:type="paragraph" w:customStyle="1" w:styleId="D4B048608C504AACBD9C258C54E99A7F">
    <w:name w:val="D4B048608C504AACBD9C258C54E99A7F"/>
    <w:rsid w:val="009B7F82"/>
  </w:style>
  <w:style w:type="paragraph" w:customStyle="1" w:styleId="A942A38EACE64E539659ADEA10209F89">
    <w:name w:val="A942A38EACE64E539659ADEA10209F89"/>
    <w:rsid w:val="009B7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24F647-0210-4A99-A770-F53793E3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ntg-long-document-keyline.dotx</Template>
  <TotalTime>1</TotalTime>
  <Pages>1</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Induced Seismicity Management Guideline 2022</vt:lpstr>
    </vt:vector>
  </TitlesOfParts>
  <Company>INDUSTRY, TOURISM and TRADE</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Induced Seismicity Management Guideline 2022</dc:title>
  <dc:creator>Northern Territory Government</dc:creator>
  <cp:lastModifiedBy>Nicola Kalmar</cp:lastModifiedBy>
  <cp:revision>4</cp:revision>
  <cp:lastPrinted>2022-12-15T05:19:00Z</cp:lastPrinted>
  <dcterms:created xsi:type="dcterms:W3CDTF">2022-12-21T04:52:00Z</dcterms:created>
  <dcterms:modified xsi:type="dcterms:W3CDTF">2022-12-21T05:11:00Z</dcterms:modified>
</cp:coreProperties>
</file>