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8575F" w14:textId="77777777" w:rsidR="002B70E7" w:rsidRDefault="002B70E7" w:rsidP="002B70E7">
      <w:pPr>
        <w:pStyle w:val="Heading3"/>
        <w:rPr>
          <w:rStyle w:val="TitleChar"/>
          <w:rFonts w:eastAsia="Calibri"/>
        </w:rPr>
      </w:pPr>
      <w:bookmarkStart w:id="0" w:name="_GoBack"/>
      <w:bookmarkEnd w:id="0"/>
    </w:p>
    <w:sdt>
      <w:sdtPr>
        <w:rPr>
          <w:rStyle w:val="TitleChar"/>
          <w:rFonts w:eastAsia="Calibri"/>
        </w:rPr>
        <w:alias w:val="Title"/>
        <w:tag w:val="Title"/>
        <w:id w:val="-509755993"/>
        <w:placeholder>
          <w:docPart w:val="32E5E2965F1E4BFCBD0167C153D16F10"/>
        </w:placeholder>
        <w:dataBinding w:prefixMappings="xmlns:ns0='http://purl.org/dc/elements/1.1/' xmlns:ns1='http://schemas.openxmlformats.org/package/2006/metadata/core-properties' " w:xpath="/ns1:coreProperties[1]/ns0:title[1]" w:storeItemID="{6C3C8BC8-F283-45AE-878A-BAB7291924A1}"/>
        <w15:color w:val="1F1F5F"/>
        <w:text w:multiLine="1"/>
      </w:sdtPr>
      <w:sdtEndPr>
        <w:rPr>
          <w:rStyle w:val="TitleChar"/>
        </w:rPr>
      </w:sdtEndPr>
      <w:sdtContent>
        <w:p w14:paraId="2F486510" w14:textId="3CB3F732" w:rsidR="00D61FD1" w:rsidRDefault="00C414A9" w:rsidP="002B70E7">
          <w:pPr>
            <w:pStyle w:val="Heading3"/>
          </w:pPr>
          <w:r>
            <w:rPr>
              <w:rStyle w:val="TitleChar"/>
              <w:rFonts w:eastAsia="Calibri"/>
            </w:rPr>
            <w:t xml:space="preserve">Is </w:t>
          </w:r>
          <w:proofErr w:type="spellStart"/>
          <w:r>
            <w:rPr>
              <w:rStyle w:val="TitleChar"/>
              <w:rFonts w:eastAsia="Calibri"/>
            </w:rPr>
            <w:t>HomeBuild</w:t>
          </w:r>
          <w:proofErr w:type="spellEnd"/>
          <w:r>
            <w:rPr>
              <w:rStyle w:val="TitleChar"/>
              <w:rFonts w:eastAsia="Calibri"/>
            </w:rPr>
            <w:t xml:space="preserve"> Access for you?</w:t>
          </w:r>
        </w:p>
      </w:sdtContent>
    </w:sdt>
    <w:bookmarkStart w:id="1" w:name="_Toc15286861" w:displacedByCustomXml="prev"/>
    <w:bookmarkStart w:id="2" w:name="_Toc15286907" w:displacedByCustomXml="prev"/>
    <w:bookmarkEnd w:id="2"/>
    <w:bookmarkEnd w:id="1"/>
    <w:p w14:paraId="2B3590AC" w14:textId="61425FBA" w:rsidR="00A1780A" w:rsidRPr="00DA5F5B" w:rsidRDefault="00C414A9" w:rsidP="00A1780A">
      <w:pPr>
        <w:spacing w:after="0"/>
        <w:rPr>
          <w:bCs/>
          <w:szCs w:val="20"/>
        </w:rPr>
      </w:pPr>
      <w:r>
        <w:rPr>
          <w:szCs w:val="20"/>
        </w:rPr>
        <w:t xml:space="preserve">The Northern Territory Government’s </w:t>
      </w:r>
      <w:proofErr w:type="spellStart"/>
      <w:r>
        <w:rPr>
          <w:szCs w:val="20"/>
        </w:rPr>
        <w:t>HomeBuild</w:t>
      </w:r>
      <w:proofErr w:type="spellEnd"/>
      <w:r>
        <w:rPr>
          <w:szCs w:val="20"/>
        </w:rPr>
        <w:t xml:space="preserve"> Access package delivers more home loan options for Territorians. Loans are available for Territorians looking to buy or build a new home.</w:t>
      </w:r>
    </w:p>
    <w:p w14:paraId="1AAF6FA8" w14:textId="05A84759" w:rsidR="00A1780A" w:rsidRDefault="00C414A9" w:rsidP="00A1780A">
      <w:pPr>
        <w:widowControl w:val="0"/>
        <w:spacing w:before="240"/>
        <w:ind w:right="-23"/>
        <w:outlineLvl w:val="0"/>
        <w:rPr>
          <w:rFonts w:ascii="Lato Semibold" w:hAnsi="Lato Semibold"/>
          <w:bCs/>
          <w:color w:val="1F1F5F"/>
          <w:kern w:val="32"/>
          <w:sz w:val="36"/>
          <w:szCs w:val="32"/>
          <w:lang w:eastAsia="en-AU"/>
        </w:rPr>
      </w:pPr>
      <w:r>
        <w:rPr>
          <w:rFonts w:ascii="Lato Semibold" w:eastAsia="Times New Roman" w:hAnsi="Lato Semibold"/>
          <w:bCs/>
          <w:color w:val="1F1F5F"/>
          <w:kern w:val="32"/>
          <w:sz w:val="36"/>
          <w:szCs w:val="32"/>
          <w:lang w:eastAsia="en-AU"/>
        </w:rPr>
        <w:t xml:space="preserve">Eligibility criteria for </w:t>
      </w:r>
      <w:proofErr w:type="spellStart"/>
      <w:r>
        <w:rPr>
          <w:rFonts w:ascii="Lato Semibold" w:eastAsia="Times New Roman" w:hAnsi="Lato Semibold"/>
          <w:bCs/>
          <w:color w:val="1F1F5F"/>
          <w:kern w:val="32"/>
          <w:sz w:val="36"/>
          <w:szCs w:val="32"/>
          <w:lang w:eastAsia="en-AU"/>
        </w:rPr>
        <w:t>HomeBuild</w:t>
      </w:r>
      <w:proofErr w:type="spellEnd"/>
      <w:r>
        <w:rPr>
          <w:rFonts w:ascii="Lato Semibold" w:eastAsia="Times New Roman" w:hAnsi="Lato Semibold"/>
          <w:bCs/>
          <w:color w:val="1F1F5F"/>
          <w:kern w:val="32"/>
          <w:sz w:val="36"/>
          <w:szCs w:val="32"/>
          <w:lang w:eastAsia="en-AU"/>
        </w:rPr>
        <w:t xml:space="preserve"> Access loans</w:t>
      </w:r>
    </w:p>
    <w:p w14:paraId="575B31DC" w14:textId="52C6D242" w:rsidR="00A1780A" w:rsidRPr="00DA5F5B" w:rsidRDefault="00C414A9" w:rsidP="00A1780A">
      <w:pPr>
        <w:widowControl w:val="0"/>
        <w:spacing w:before="240"/>
        <w:ind w:right="-23"/>
        <w:outlineLvl w:val="0"/>
        <w:rPr>
          <w:bCs/>
          <w:szCs w:val="20"/>
        </w:rPr>
      </w:pPr>
      <w:r>
        <w:rPr>
          <w:szCs w:val="20"/>
        </w:rPr>
        <w:t xml:space="preserve">To be eligible for a </w:t>
      </w:r>
      <w:proofErr w:type="spellStart"/>
      <w:r>
        <w:rPr>
          <w:szCs w:val="20"/>
        </w:rPr>
        <w:t>HomeBuild</w:t>
      </w:r>
      <w:proofErr w:type="spellEnd"/>
      <w:r>
        <w:rPr>
          <w:szCs w:val="20"/>
        </w:rPr>
        <w:t xml:space="preserve"> Access home loan, you and your spouse/partner must:</w:t>
      </w:r>
    </w:p>
    <w:p w14:paraId="585B53E8" w14:textId="77D17028" w:rsidR="00C414A9" w:rsidRPr="00C414A9" w:rsidRDefault="00C414A9" w:rsidP="00BA36C9">
      <w:pPr>
        <w:pStyle w:val="ListParagraph"/>
        <w:numPr>
          <w:ilvl w:val="0"/>
          <w:numId w:val="9"/>
        </w:numPr>
        <w:spacing w:before="200" w:after="200"/>
        <w:ind w:left="357" w:hanging="357"/>
        <w:rPr>
          <w:rFonts w:eastAsia="Calibri"/>
          <w:bCs/>
        </w:rPr>
      </w:pPr>
      <w:r>
        <w:rPr>
          <w:rFonts w:eastAsia="Calibri"/>
        </w:rPr>
        <w:t>be an Australian citizen or permanent resident (or a joint applicant with spouse who is);</w:t>
      </w:r>
    </w:p>
    <w:p w14:paraId="588628CD" w14:textId="77777777" w:rsidR="00C414A9" w:rsidRDefault="00C414A9" w:rsidP="00BA36C9">
      <w:pPr>
        <w:pStyle w:val="ListParagraph"/>
        <w:numPr>
          <w:ilvl w:val="0"/>
          <w:numId w:val="9"/>
        </w:numPr>
        <w:spacing w:before="200" w:after="200"/>
        <w:ind w:left="357" w:hanging="357"/>
        <w:rPr>
          <w:rFonts w:eastAsia="Calibri"/>
        </w:rPr>
      </w:pPr>
      <w:r>
        <w:rPr>
          <w:rFonts w:eastAsia="Calibri"/>
        </w:rPr>
        <w:t>be contracting to build or purchase a new property;</w:t>
      </w:r>
    </w:p>
    <w:p w14:paraId="11E1CEB9" w14:textId="77777777" w:rsidR="00C414A9" w:rsidRDefault="00C414A9" w:rsidP="00BA36C9">
      <w:pPr>
        <w:pStyle w:val="ListParagraph"/>
        <w:numPr>
          <w:ilvl w:val="0"/>
          <w:numId w:val="9"/>
        </w:numPr>
        <w:spacing w:before="200" w:after="200"/>
        <w:ind w:left="357" w:hanging="357"/>
        <w:rPr>
          <w:rFonts w:eastAsia="Calibri"/>
        </w:rPr>
      </w:pPr>
      <w:r>
        <w:rPr>
          <w:rFonts w:eastAsia="Calibri"/>
        </w:rPr>
        <w:t xml:space="preserve">not be purchasing/constructing a home that exceeds the price limits of the </w:t>
      </w:r>
      <w:proofErr w:type="spellStart"/>
      <w:r>
        <w:rPr>
          <w:rFonts w:eastAsia="Calibri"/>
        </w:rPr>
        <w:t>HomeBuild</w:t>
      </w:r>
      <w:proofErr w:type="spellEnd"/>
      <w:r>
        <w:rPr>
          <w:rFonts w:eastAsia="Calibri"/>
        </w:rPr>
        <w:t xml:space="preserve"> Access loan product;</w:t>
      </w:r>
    </w:p>
    <w:p w14:paraId="7BFF5470" w14:textId="77777777" w:rsidR="00C414A9" w:rsidRDefault="00C414A9" w:rsidP="00BA36C9">
      <w:pPr>
        <w:pStyle w:val="ListParagraph"/>
        <w:numPr>
          <w:ilvl w:val="0"/>
          <w:numId w:val="9"/>
        </w:numPr>
        <w:spacing w:before="200" w:after="200"/>
        <w:ind w:left="357" w:hanging="357"/>
        <w:rPr>
          <w:rFonts w:eastAsia="Calibri"/>
        </w:rPr>
      </w:pPr>
      <w:r>
        <w:rPr>
          <w:rFonts w:eastAsia="Calibri"/>
        </w:rPr>
        <w:t xml:space="preserve">have a minimum deposit in relation to the product you are applying for; </w:t>
      </w:r>
    </w:p>
    <w:p w14:paraId="114C3BC0" w14:textId="77777777" w:rsidR="00C414A9" w:rsidRDefault="00C414A9" w:rsidP="00BA36C9">
      <w:pPr>
        <w:pStyle w:val="ListParagraph"/>
        <w:numPr>
          <w:ilvl w:val="0"/>
          <w:numId w:val="9"/>
        </w:numPr>
        <w:spacing w:before="200" w:after="200"/>
        <w:ind w:left="357" w:hanging="357"/>
        <w:rPr>
          <w:rFonts w:eastAsia="Calibri"/>
        </w:rPr>
      </w:pPr>
      <w:r>
        <w:rPr>
          <w:rFonts w:eastAsia="Calibri"/>
        </w:rPr>
        <w:t xml:space="preserve">contract a Northern Territory licensed builder under a single fixed price building contract if you are building a house; </w:t>
      </w:r>
    </w:p>
    <w:p w14:paraId="0B2AD9AC" w14:textId="77777777" w:rsidR="00C414A9" w:rsidRDefault="00C414A9" w:rsidP="00BA36C9">
      <w:pPr>
        <w:pStyle w:val="ListParagraph"/>
        <w:numPr>
          <w:ilvl w:val="0"/>
          <w:numId w:val="9"/>
        </w:numPr>
        <w:spacing w:before="200" w:after="200"/>
        <w:ind w:left="357" w:hanging="357"/>
        <w:rPr>
          <w:rFonts w:eastAsia="Calibri"/>
        </w:rPr>
      </w:pPr>
      <w:r>
        <w:rPr>
          <w:rFonts w:eastAsia="Calibri"/>
        </w:rPr>
        <w:t>live in the property as your principal place of residence for a minimum of three years after it is purchased/constructed; and</w:t>
      </w:r>
    </w:p>
    <w:p w14:paraId="0EC9E8AF" w14:textId="306D53A2" w:rsidR="00A1780A" w:rsidRPr="00673BED" w:rsidRDefault="00C414A9" w:rsidP="00BA36C9">
      <w:pPr>
        <w:pStyle w:val="ListParagraph"/>
        <w:numPr>
          <w:ilvl w:val="0"/>
          <w:numId w:val="9"/>
        </w:numPr>
        <w:spacing w:before="200" w:after="200"/>
        <w:ind w:left="357" w:hanging="357"/>
        <w:rPr>
          <w:rFonts w:eastAsia="Calibri"/>
        </w:rPr>
      </w:pPr>
      <w:proofErr w:type="gramStart"/>
      <w:r>
        <w:rPr>
          <w:rFonts w:eastAsia="Calibri"/>
        </w:rPr>
        <w:t>not</w:t>
      </w:r>
      <w:proofErr w:type="gramEnd"/>
      <w:r>
        <w:rPr>
          <w:rFonts w:eastAsia="Calibri"/>
        </w:rPr>
        <w:t xml:space="preserve"> currently have a </w:t>
      </w:r>
      <w:proofErr w:type="spellStart"/>
      <w:r>
        <w:rPr>
          <w:rFonts w:eastAsia="Calibri"/>
        </w:rPr>
        <w:t>HomeBuild</w:t>
      </w:r>
      <w:proofErr w:type="spellEnd"/>
      <w:r>
        <w:rPr>
          <w:rFonts w:eastAsia="Calibri"/>
        </w:rPr>
        <w:t xml:space="preserve"> Access loan</w:t>
      </w:r>
      <w:r w:rsidR="00A1780A" w:rsidRPr="00673BED">
        <w:rPr>
          <w:rFonts w:eastAsia="Calibri"/>
        </w:rPr>
        <w:t>.</w:t>
      </w:r>
    </w:p>
    <w:p w14:paraId="72F027B6" w14:textId="06CD7BBD" w:rsidR="00A1780A" w:rsidRPr="00DA5F5B" w:rsidRDefault="00C414A9" w:rsidP="00A1780A">
      <w:pPr>
        <w:widowControl w:val="0"/>
        <w:spacing w:before="240"/>
        <w:ind w:right="-23"/>
        <w:outlineLvl w:val="0"/>
        <w:rPr>
          <w:rFonts w:ascii="Lato Semibold" w:eastAsia="Times New Roman" w:hAnsi="Lato Semibold"/>
          <w:bCs/>
          <w:color w:val="1F1F5F"/>
          <w:kern w:val="32"/>
          <w:sz w:val="36"/>
          <w:szCs w:val="32"/>
          <w:lang w:eastAsia="en-AU"/>
        </w:rPr>
      </w:pPr>
      <w:r>
        <w:rPr>
          <w:rFonts w:ascii="Lato Semibold" w:eastAsia="Times New Roman" w:hAnsi="Lato Semibold"/>
          <w:bCs/>
          <w:color w:val="1F1F5F"/>
          <w:kern w:val="32"/>
          <w:sz w:val="36"/>
          <w:szCs w:val="32"/>
          <w:lang w:eastAsia="en-AU"/>
        </w:rPr>
        <w:t xml:space="preserve">Price limits for </w:t>
      </w:r>
      <w:proofErr w:type="spellStart"/>
      <w:r>
        <w:rPr>
          <w:rFonts w:ascii="Lato Semibold" w:eastAsia="Times New Roman" w:hAnsi="Lato Semibold"/>
          <w:bCs/>
          <w:color w:val="1F1F5F"/>
          <w:kern w:val="32"/>
          <w:sz w:val="36"/>
          <w:szCs w:val="32"/>
          <w:lang w:eastAsia="en-AU"/>
        </w:rPr>
        <w:t>HomeBuild</w:t>
      </w:r>
      <w:proofErr w:type="spellEnd"/>
      <w:r>
        <w:rPr>
          <w:rFonts w:ascii="Lato Semibold" w:eastAsia="Times New Roman" w:hAnsi="Lato Semibold"/>
          <w:bCs/>
          <w:color w:val="1F1F5F"/>
          <w:kern w:val="32"/>
          <w:sz w:val="36"/>
          <w:szCs w:val="32"/>
          <w:lang w:eastAsia="en-AU"/>
        </w:rPr>
        <w:t xml:space="preserve"> Access loans</w:t>
      </w:r>
      <w:r w:rsidR="00A1780A" w:rsidRPr="00DA5F5B">
        <w:rPr>
          <w:rFonts w:ascii="Lato Semibold" w:eastAsia="Times New Roman" w:hAnsi="Lato Semibold"/>
          <w:bCs/>
          <w:color w:val="1F1F5F"/>
          <w:kern w:val="32"/>
          <w:sz w:val="36"/>
          <w:szCs w:val="32"/>
          <w:lang w:eastAsia="en-AU"/>
        </w:rPr>
        <w:t xml:space="preserve"> </w:t>
      </w:r>
    </w:p>
    <w:p w14:paraId="2B482DCF" w14:textId="243D1AA6" w:rsidR="00A1780A" w:rsidRDefault="00C414A9" w:rsidP="00A1780A">
      <w:pPr>
        <w:spacing w:after="0"/>
        <w:rPr>
          <w:bCs/>
          <w:szCs w:val="20"/>
        </w:rPr>
      </w:pPr>
      <w:r>
        <w:rPr>
          <w:bCs/>
          <w:szCs w:val="20"/>
        </w:rPr>
        <w:t>The property you purchase must not exceed the following price limits:</w:t>
      </w:r>
    </w:p>
    <w:p w14:paraId="573426BF" w14:textId="4E7C6E02" w:rsidR="00C414A9" w:rsidRDefault="00C414A9" w:rsidP="00A1780A">
      <w:pPr>
        <w:spacing w:after="0"/>
        <w:rPr>
          <w:bCs/>
          <w:szCs w:val="20"/>
        </w:rPr>
      </w:pPr>
    </w:p>
    <w:tbl>
      <w:tblPr>
        <w:tblStyle w:val="TableGrid"/>
        <w:tblW w:w="0" w:type="auto"/>
        <w:tblLook w:val="04A0" w:firstRow="1" w:lastRow="0" w:firstColumn="1" w:lastColumn="0" w:noHBand="0" w:noVBand="1"/>
      </w:tblPr>
      <w:tblGrid>
        <w:gridCol w:w="5154"/>
        <w:gridCol w:w="5154"/>
      </w:tblGrid>
      <w:tr w:rsidR="00C414A9" w14:paraId="5D540CF1" w14:textId="77777777" w:rsidTr="00C414A9">
        <w:tc>
          <w:tcPr>
            <w:tcW w:w="5154" w:type="dxa"/>
            <w:vAlign w:val="center"/>
          </w:tcPr>
          <w:p w14:paraId="0128C4C0" w14:textId="32C308BA" w:rsidR="00C414A9" w:rsidRPr="00C414A9" w:rsidRDefault="00C414A9" w:rsidP="00C414A9">
            <w:pPr>
              <w:spacing w:after="0"/>
              <w:jc w:val="center"/>
              <w:rPr>
                <w:b/>
                <w:bCs/>
                <w:szCs w:val="20"/>
              </w:rPr>
            </w:pPr>
            <w:r>
              <w:rPr>
                <w:b/>
                <w:bCs/>
                <w:szCs w:val="20"/>
              </w:rPr>
              <w:t>House size</w:t>
            </w:r>
          </w:p>
        </w:tc>
        <w:tc>
          <w:tcPr>
            <w:tcW w:w="5154" w:type="dxa"/>
            <w:vAlign w:val="center"/>
          </w:tcPr>
          <w:p w14:paraId="1410A343" w14:textId="3DC71C07" w:rsidR="00C414A9" w:rsidRDefault="00C414A9" w:rsidP="00C414A9">
            <w:pPr>
              <w:spacing w:after="0"/>
              <w:jc w:val="center"/>
              <w:rPr>
                <w:bCs/>
                <w:szCs w:val="20"/>
              </w:rPr>
            </w:pPr>
            <w:r w:rsidRPr="00C414A9">
              <w:rPr>
                <w:b/>
                <w:bCs/>
                <w:szCs w:val="20"/>
              </w:rPr>
              <w:t>Purchase</w:t>
            </w:r>
            <w:r>
              <w:rPr>
                <w:bCs/>
                <w:szCs w:val="20"/>
              </w:rPr>
              <w:t xml:space="preserve"> </w:t>
            </w:r>
            <w:r w:rsidRPr="00C414A9">
              <w:rPr>
                <w:b/>
                <w:bCs/>
                <w:szCs w:val="20"/>
              </w:rPr>
              <w:t>price limit</w:t>
            </w:r>
          </w:p>
        </w:tc>
      </w:tr>
      <w:tr w:rsidR="00C414A9" w14:paraId="198B3B68" w14:textId="77777777" w:rsidTr="00C414A9">
        <w:tc>
          <w:tcPr>
            <w:tcW w:w="5154" w:type="dxa"/>
            <w:vAlign w:val="center"/>
          </w:tcPr>
          <w:p w14:paraId="7C816974" w14:textId="6ECF59F0" w:rsidR="00C414A9" w:rsidRDefault="00C414A9" w:rsidP="00C414A9">
            <w:pPr>
              <w:spacing w:after="0"/>
              <w:jc w:val="center"/>
              <w:rPr>
                <w:bCs/>
                <w:szCs w:val="20"/>
              </w:rPr>
            </w:pPr>
            <w:r>
              <w:rPr>
                <w:bCs/>
                <w:szCs w:val="20"/>
              </w:rPr>
              <w:t>1 – 2 bedrooms</w:t>
            </w:r>
          </w:p>
        </w:tc>
        <w:tc>
          <w:tcPr>
            <w:tcW w:w="5154" w:type="dxa"/>
            <w:vAlign w:val="center"/>
          </w:tcPr>
          <w:p w14:paraId="0BB77EE1" w14:textId="300C8AB6" w:rsidR="00C414A9" w:rsidRDefault="00C414A9" w:rsidP="00C414A9">
            <w:pPr>
              <w:spacing w:after="0"/>
              <w:jc w:val="center"/>
              <w:rPr>
                <w:bCs/>
                <w:szCs w:val="20"/>
              </w:rPr>
            </w:pPr>
            <w:r>
              <w:rPr>
                <w:bCs/>
                <w:szCs w:val="20"/>
              </w:rPr>
              <w:t>$475,000</w:t>
            </w:r>
          </w:p>
        </w:tc>
      </w:tr>
      <w:tr w:rsidR="00C414A9" w14:paraId="7937C53F" w14:textId="77777777" w:rsidTr="00C414A9">
        <w:tc>
          <w:tcPr>
            <w:tcW w:w="5154" w:type="dxa"/>
            <w:vAlign w:val="center"/>
          </w:tcPr>
          <w:p w14:paraId="0D72CB11" w14:textId="2244BAF4" w:rsidR="00C414A9" w:rsidRDefault="00C414A9" w:rsidP="00C414A9">
            <w:pPr>
              <w:spacing w:after="0"/>
              <w:jc w:val="center"/>
              <w:rPr>
                <w:bCs/>
                <w:szCs w:val="20"/>
              </w:rPr>
            </w:pPr>
            <w:r>
              <w:rPr>
                <w:bCs/>
                <w:szCs w:val="20"/>
              </w:rPr>
              <w:t>3 or more bedrooms</w:t>
            </w:r>
          </w:p>
        </w:tc>
        <w:tc>
          <w:tcPr>
            <w:tcW w:w="5154" w:type="dxa"/>
            <w:vAlign w:val="center"/>
          </w:tcPr>
          <w:p w14:paraId="07E50D31" w14:textId="6DFEEBF8" w:rsidR="00C414A9" w:rsidRDefault="00C414A9" w:rsidP="00C414A9">
            <w:pPr>
              <w:spacing w:after="0"/>
              <w:jc w:val="center"/>
              <w:rPr>
                <w:bCs/>
                <w:szCs w:val="20"/>
              </w:rPr>
            </w:pPr>
            <w:r>
              <w:rPr>
                <w:bCs/>
                <w:szCs w:val="20"/>
              </w:rPr>
              <w:t>$550,000</w:t>
            </w:r>
          </w:p>
        </w:tc>
      </w:tr>
    </w:tbl>
    <w:p w14:paraId="16951620" w14:textId="77777777" w:rsidR="00C414A9" w:rsidRDefault="00C414A9" w:rsidP="00A1780A">
      <w:pPr>
        <w:spacing w:after="0"/>
        <w:rPr>
          <w:bCs/>
          <w:szCs w:val="20"/>
        </w:rPr>
      </w:pPr>
    </w:p>
    <w:p w14:paraId="48F7A8C4" w14:textId="02F249F0" w:rsidR="00A1780A" w:rsidRPr="00673BED" w:rsidRDefault="00C414A9" w:rsidP="00A1780A">
      <w:pPr>
        <w:spacing w:after="0"/>
        <w:rPr>
          <w:bCs/>
        </w:rPr>
      </w:pPr>
      <w:r>
        <w:t>If you are constructing your home, the price limit includes the cost of the land and the full construction cost of your new home</w:t>
      </w:r>
      <w:r w:rsidR="00A1780A" w:rsidRPr="00673BED">
        <w:t>.</w:t>
      </w:r>
    </w:p>
    <w:p w14:paraId="601230A2" w14:textId="514E0DC8" w:rsidR="00C414A9" w:rsidRDefault="00C414A9" w:rsidP="00A1780A">
      <w:pPr>
        <w:spacing w:before="200"/>
      </w:pPr>
      <w:r>
        <w:t xml:space="preserve">These purchase price limits apply to all </w:t>
      </w:r>
      <w:proofErr w:type="spellStart"/>
      <w:r>
        <w:t>HomeBuild</w:t>
      </w:r>
      <w:proofErr w:type="spellEnd"/>
      <w:r>
        <w:t xml:space="preserve"> Access loan products.</w:t>
      </w:r>
    </w:p>
    <w:p w14:paraId="3A738AD2" w14:textId="77777777" w:rsidR="00C414A9" w:rsidRDefault="00C414A9">
      <w:r>
        <w:br w:type="page"/>
      </w:r>
    </w:p>
    <w:p w14:paraId="78015C03" w14:textId="1AD26877" w:rsidR="00A1780A" w:rsidRPr="00DA5F5B" w:rsidRDefault="00C414A9" w:rsidP="00A1780A">
      <w:pPr>
        <w:widowControl w:val="0"/>
        <w:spacing w:before="240"/>
        <w:ind w:right="-23"/>
        <w:outlineLvl w:val="0"/>
        <w:rPr>
          <w:rFonts w:ascii="Lato Semibold" w:eastAsia="Times New Roman" w:hAnsi="Lato Semibold"/>
          <w:bCs/>
          <w:color w:val="1F1F5F"/>
          <w:kern w:val="32"/>
          <w:sz w:val="36"/>
          <w:szCs w:val="32"/>
          <w:lang w:eastAsia="en-AU"/>
        </w:rPr>
      </w:pPr>
      <w:proofErr w:type="spellStart"/>
      <w:r>
        <w:rPr>
          <w:rFonts w:ascii="Lato Semibold" w:eastAsia="Times New Roman" w:hAnsi="Lato Semibold"/>
          <w:bCs/>
          <w:color w:val="1F1F5F"/>
          <w:kern w:val="32"/>
          <w:sz w:val="36"/>
          <w:szCs w:val="32"/>
          <w:lang w:eastAsia="en-AU"/>
        </w:rPr>
        <w:lastRenderedPageBreak/>
        <w:t>HomeBuild</w:t>
      </w:r>
      <w:proofErr w:type="spellEnd"/>
      <w:r>
        <w:rPr>
          <w:rFonts w:ascii="Lato Semibold" w:eastAsia="Times New Roman" w:hAnsi="Lato Semibold"/>
          <w:bCs/>
          <w:color w:val="1F1F5F"/>
          <w:kern w:val="32"/>
          <w:sz w:val="36"/>
          <w:szCs w:val="32"/>
          <w:lang w:eastAsia="en-AU"/>
        </w:rPr>
        <w:t xml:space="preserve"> Access loan types</w:t>
      </w:r>
    </w:p>
    <w:p w14:paraId="1FB0DF8B" w14:textId="77777777" w:rsidR="00C414A9" w:rsidRDefault="00C414A9" w:rsidP="00A1780A">
      <w:pPr>
        <w:spacing w:before="200"/>
      </w:pPr>
      <w:r w:rsidRPr="00C414A9">
        <w:rPr>
          <w:b/>
        </w:rPr>
        <w:t>Low Deposit Loan</w:t>
      </w:r>
    </w:p>
    <w:p w14:paraId="6733D1F4" w14:textId="642717AE" w:rsidR="00A1780A" w:rsidRDefault="00C414A9" w:rsidP="00A1780A">
      <w:pPr>
        <w:spacing w:before="200"/>
      </w:pPr>
      <w:r>
        <w:t>This loan provides you with a Northern Territory Government loan of up to 17.5% of the purchase price of your new home.</w:t>
      </w:r>
    </w:p>
    <w:p w14:paraId="4A0A6903" w14:textId="178D46E5" w:rsidR="00A1780A" w:rsidRDefault="00C414A9" w:rsidP="00C414A9">
      <w:pPr>
        <w:spacing w:before="200"/>
      </w:pPr>
      <w:r>
        <w:t>You will be required to obtain finance for 80% of the purchase price through an approved financier, currently People's Choice.</w:t>
      </w:r>
    </w:p>
    <w:p w14:paraId="21E58E3E" w14:textId="3C7222B0" w:rsidR="00C414A9" w:rsidRDefault="00C414A9" w:rsidP="00C414A9">
      <w:pPr>
        <w:spacing w:before="200"/>
      </w:pPr>
      <w:r>
        <w:t xml:space="preserve">The </w:t>
      </w:r>
      <w:r>
        <w:rPr>
          <w:b/>
        </w:rPr>
        <w:t xml:space="preserve">Low Deposit Loan </w:t>
      </w:r>
      <w:r>
        <w:t>offers:</w:t>
      </w:r>
    </w:p>
    <w:p w14:paraId="01A97CDA" w14:textId="00866481" w:rsidR="00C414A9" w:rsidRDefault="00C414A9" w:rsidP="00BA36C9">
      <w:pPr>
        <w:pStyle w:val="ListParagraph"/>
        <w:numPr>
          <w:ilvl w:val="0"/>
          <w:numId w:val="10"/>
        </w:numPr>
      </w:pPr>
      <w:r>
        <w:t>no income or asset limits;</w:t>
      </w:r>
    </w:p>
    <w:p w14:paraId="3ECA4BB5" w14:textId="339E1BF8" w:rsidR="00C414A9" w:rsidRDefault="00C414A9" w:rsidP="00BA36C9">
      <w:pPr>
        <w:pStyle w:val="ListParagraph"/>
        <w:numPr>
          <w:ilvl w:val="0"/>
          <w:numId w:val="10"/>
        </w:numPr>
      </w:pPr>
      <w:r>
        <w:t>a competitive variable interest rate;</w:t>
      </w:r>
    </w:p>
    <w:p w14:paraId="53A3C465" w14:textId="13956978" w:rsidR="00C414A9" w:rsidRDefault="00C414A9" w:rsidP="00BA36C9">
      <w:pPr>
        <w:pStyle w:val="ListParagraph"/>
        <w:numPr>
          <w:ilvl w:val="0"/>
          <w:numId w:val="10"/>
        </w:numPr>
      </w:pPr>
      <w:r>
        <w:t>a low 2.5% deposit requirement;</w:t>
      </w:r>
    </w:p>
    <w:p w14:paraId="65FBCD06" w14:textId="0587CC98" w:rsidR="00C414A9" w:rsidRDefault="00C414A9" w:rsidP="00BA36C9">
      <w:pPr>
        <w:pStyle w:val="ListParagraph"/>
        <w:numPr>
          <w:ilvl w:val="0"/>
          <w:numId w:val="10"/>
        </w:numPr>
      </w:pPr>
      <w:r>
        <w:t>no lenders mortgage insurance;</w:t>
      </w:r>
    </w:p>
    <w:p w14:paraId="45C086A9" w14:textId="478A9F0D" w:rsidR="00C414A9" w:rsidRDefault="00C414A9" w:rsidP="00BA36C9">
      <w:pPr>
        <w:pStyle w:val="ListParagraph"/>
        <w:numPr>
          <w:ilvl w:val="0"/>
          <w:numId w:val="10"/>
        </w:numPr>
      </w:pPr>
      <w:r>
        <w:t>no monthly service fees;</w:t>
      </w:r>
    </w:p>
    <w:p w14:paraId="2C04860C" w14:textId="614F1350" w:rsidR="00C414A9" w:rsidRDefault="00C414A9" w:rsidP="00BA36C9">
      <w:pPr>
        <w:pStyle w:val="ListParagraph"/>
        <w:numPr>
          <w:ilvl w:val="0"/>
          <w:numId w:val="10"/>
        </w:numPr>
      </w:pPr>
      <w:r>
        <w:t>up to a 30 year loan term;</w:t>
      </w:r>
    </w:p>
    <w:p w14:paraId="31A4C1CD" w14:textId="0EEFCE2A" w:rsidR="00C414A9" w:rsidRDefault="00C414A9" w:rsidP="00BA36C9">
      <w:pPr>
        <w:pStyle w:val="ListParagraph"/>
        <w:numPr>
          <w:ilvl w:val="0"/>
          <w:numId w:val="10"/>
        </w:numPr>
      </w:pPr>
      <w:r>
        <w:t>no application fee; and</w:t>
      </w:r>
    </w:p>
    <w:p w14:paraId="20C4DE2D" w14:textId="4B2FFB60" w:rsidR="00C414A9" w:rsidRDefault="00C414A9" w:rsidP="00BA36C9">
      <w:pPr>
        <w:pStyle w:val="ListParagraph"/>
        <w:numPr>
          <w:ilvl w:val="0"/>
          <w:numId w:val="10"/>
        </w:numPr>
        <w:spacing w:after="200"/>
        <w:ind w:left="357" w:hanging="357"/>
      </w:pPr>
      <w:proofErr w:type="gramStart"/>
      <w:r>
        <w:t>access</w:t>
      </w:r>
      <w:proofErr w:type="gramEnd"/>
      <w:r>
        <w:t xml:space="preserve"> to an </w:t>
      </w:r>
      <w:r>
        <w:rPr>
          <w:b/>
        </w:rPr>
        <w:t>Off the Plan Deposit Loan</w:t>
      </w:r>
      <w:r>
        <w:t xml:space="preserve"> to help fund the deposit.</w:t>
      </w:r>
    </w:p>
    <w:p w14:paraId="0ACB736F" w14:textId="45B9944C" w:rsidR="00C414A9" w:rsidRDefault="00C414A9" w:rsidP="00C414A9">
      <w:pPr>
        <w:spacing w:before="200"/>
      </w:pPr>
      <w:r>
        <w:t xml:space="preserve">This loan can assist you by providing funds to pay the deposit when purchasing a property ‘off the plan’. For more details on this loan, refer to our </w:t>
      </w:r>
      <w:proofErr w:type="spellStart"/>
      <w:r>
        <w:t>HomeBuild</w:t>
      </w:r>
      <w:proofErr w:type="spellEnd"/>
      <w:r>
        <w:t xml:space="preserve"> Access </w:t>
      </w:r>
      <w:proofErr w:type="gramStart"/>
      <w:r>
        <w:rPr>
          <w:b/>
        </w:rPr>
        <w:t>Off</w:t>
      </w:r>
      <w:proofErr w:type="gramEnd"/>
      <w:r>
        <w:rPr>
          <w:b/>
        </w:rPr>
        <w:t xml:space="preserve"> the Plan Deposit Loan </w:t>
      </w:r>
      <w:r>
        <w:t>fact sheet.</w:t>
      </w:r>
    </w:p>
    <w:p w14:paraId="0C6B7D19" w14:textId="47DD6842" w:rsidR="00A1780A" w:rsidRPr="00673BED" w:rsidRDefault="00C414A9" w:rsidP="00A1780A">
      <w:pPr>
        <w:widowControl w:val="0"/>
        <w:spacing w:before="240"/>
        <w:ind w:right="-23"/>
        <w:outlineLvl w:val="0"/>
        <w:rPr>
          <w:rFonts w:ascii="Lato Semibold" w:eastAsia="Times New Roman" w:hAnsi="Lato Semibold"/>
          <w:bCs/>
          <w:color w:val="1F1F5F"/>
          <w:kern w:val="32"/>
          <w:sz w:val="36"/>
          <w:szCs w:val="32"/>
          <w:lang w:eastAsia="en-AU"/>
        </w:rPr>
      </w:pPr>
      <w:r>
        <w:rPr>
          <w:rFonts w:ascii="Lato Semibold" w:eastAsia="Times New Roman" w:hAnsi="Lato Semibold"/>
          <w:bCs/>
          <w:color w:val="1F1F5F"/>
          <w:kern w:val="32"/>
          <w:sz w:val="36"/>
          <w:szCs w:val="32"/>
          <w:lang w:eastAsia="en-AU"/>
        </w:rPr>
        <w:t>Additional eligibility criteria for Low Deposit Loans</w:t>
      </w:r>
    </w:p>
    <w:p w14:paraId="12AAD5DE" w14:textId="323D42AB" w:rsidR="00A1780A" w:rsidRDefault="00C414A9" w:rsidP="00A1780A">
      <w:pPr>
        <w:spacing w:before="200"/>
      </w:pPr>
      <w:r>
        <w:t xml:space="preserve">In addition to the standard eligibility criteria for </w:t>
      </w:r>
      <w:proofErr w:type="spellStart"/>
      <w:r>
        <w:t>HomeBuild</w:t>
      </w:r>
      <w:proofErr w:type="spellEnd"/>
      <w:r>
        <w:t xml:space="preserve"> Access above, </w:t>
      </w:r>
      <w:r>
        <w:rPr>
          <w:b/>
        </w:rPr>
        <w:t xml:space="preserve">Low Deposit Loan </w:t>
      </w:r>
      <w:r>
        <w:t>you must also:</w:t>
      </w:r>
    </w:p>
    <w:p w14:paraId="73336259" w14:textId="6A45DCB8" w:rsidR="00C414A9" w:rsidRDefault="00C414A9" w:rsidP="00BA36C9">
      <w:pPr>
        <w:pStyle w:val="ListParagraph"/>
        <w:numPr>
          <w:ilvl w:val="0"/>
          <w:numId w:val="11"/>
        </w:numPr>
        <w:spacing w:before="200"/>
        <w:rPr>
          <w:bCs/>
        </w:rPr>
      </w:pPr>
      <w:proofErr w:type="gramStart"/>
      <w:r>
        <w:rPr>
          <w:bCs/>
        </w:rPr>
        <w:t>have</w:t>
      </w:r>
      <w:proofErr w:type="gramEnd"/>
      <w:r>
        <w:rPr>
          <w:bCs/>
        </w:rPr>
        <w:t xml:space="preserve"> been in your current employment for no less than 12 months. If you have transferred to the Northern Territory from interstate with your current employer, you must have been employed for a total of no less than 12 months between both locations; and</w:t>
      </w:r>
    </w:p>
    <w:p w14:paraId="7B118770" w14:textId="525B89C8" w:rsidR="00C414A9" w:rsidRPr="00C414A9" w:rsidRDefault="00C414A9" w:rsidP="00BA36C9">
      <w:pPr>
        <w:pStyle w:val="ListParagraph"/>
        <w:numPr>
          <w:ilvl w:val="0"/>
          <w:numId w:val="11"/>
        </w:numPr>
        <w:spacing w:before="200"/>
        <w:rPr>
          <w:bCs/>
        </w:rPr>
      </w:pPr>
      <w:proofErr w:type="gramStart"/>
      <w:r>
        <w:rPr>
          <w:bCs/>
        </w:rPr>
        <w:t>have</w:t>
      </w:r>
      <w:proofErr w:type="gramEnd"/>
      <w:r>
        <w:rPr>
          <w:bCs/>
        </w:rPr>
        <w:t xml:space="preserve"> demonstrated a satisfactory rental history or satisfactory loan repayment history on any previous home loan for a period of 12 months or more.</w:t>
      </w:r>
    </w:p>
    <w:p w14:paraId="7FDD1375" w14:textId="0B3DB636" w:rsidR="00A1780A" w:rsidRDefault="00A73123" w:rsidP="00A73123">
      <w:pPr>
        <w:spacing w:before="200"/>
      </w:pPr>
      <w:r>
        <w:t xml:space="preserve">There are no income or asset eligibility criteria for the </w:t>
      </w:r>
      <w:r>
        <w:rPr>
          <w:b/>
        </w:rPr>
        <w:t>Low Deposit Loan</w:t>
      </w:r>
      <w:r>
        <w:t>.</w:t>
      </w:r>
    </w:p>
    <w:p w14:paraId="5983ED70" w14:textId="2AAD2DBF" w:rsidR="00A73123" w:rsidRDefault="00A73123" w:rsidP="00A73123">
      <w:pPr>
        <w:spacing w:before="200"/>
        <w:rPr>
          <w:b/>
        </w:rPr>
      </w:pPr>
      <w:r>
        <w:rPr>
          <w:b/>
        </w:rPr>
        <w:t>Subsidised Interest Rate Loan</w:t>
      </w:r>
    </w:p>
    <w:p w14:paraId="50C0D094" w14:textId="12A46B74" w:rsidR="00A73123" w:rsidRDefault="00A73123" w:rsidP="00A73123">
      <w:pPr>
        <w:spacing w:before="200"/>
        <w:rPr>
          <w:bCs/>
        </w:rPr>
      </w:pPr>
      <w:r>
        <w:rPr>
          <w:bCs/>
        </w:rPr>
        <w:t>Specific eligibility criteria do apply for this loan.</w:t>
      </w:r>
    </w:p>
    <w:p w14:paraId="4CF97C09" w14:textId="726A1E01" w:rsidR="00A73123" w:rsidRDefault="00A73123" w:rsidP="00A73123">
      <w:pPr>
        <w:spacing w:before="200"/>
        <w:rPr>
          <w:bCs/>
        </w:rPr>
      </w:pPr>
      <w:r>
        <w:rPr>
          <w:bCs/>
        </w:rPr>
        <w:t xml:space="preserve">The </w:t>
      </w:r>
      <w:r>
        <w:rPr>
          <w:b/>
          <w:bCs/>
        </w:rPr>
        <w:t xml:space="preserve">Subsidised Interest Rate Loan </w:t>
      </w:r>
      <w:r>
        <w:rPr>
          <w:bCs/>
        </w:rPr>
        <w:t>makes home ownership more affordable for low to middle income Territorian families.</w:t>
      </w:r>
    </w:p>
    <w:p w14:paraId="654DF17F" w14:textId="6F00FEB7" w:rsidR="00A73123" w:rsidRDefault="00A73123" w:rsidP="00A73123">
      <w:pPr>
        <w:spacing w:before="200"/>
        <w:rPr>
          <w:bCs/>
        </w:rPr>
      </w:pPr>
      <w:r>
        <w:rPr>
          <w:bCs/>
        </w:rPr>
        <w:t xml:space="preserve">The </w:t>
      </w:r>
      <w:r>
        <w:rPr>
          <w:b/>
          <w:bCs/>
        </w:rPr>
        <w:t xml:space="preserve">Subsidised Interest Rate Loan </w:t>
      </w:r>
      <w:r w:rsidRPr="00A73123">
        <w:rPr>
          <w:bCs/>
        </w:rPr>
        <w:t>offers</w:t>
      </w:r>
      <w:r>
        <w:rPr>
          <w:bCs/>
        </w:rPr>
        <w:t>:</w:t>
      </w:r>
    </w:p>
    <w:p w14:paraId="1438B349" w14:textId="40289279" w:rsidR="00A73123" w:rsidRDefault="00A73123" w:rsidP="00BA36C9">
      <w:pPr>
        <w:pStyle w:val="ListParagraph"/>
        <w:numPr>
          <w:ilvl w:val="0"/>
          <w:numId w:val="12"/>
        </w:numPr>
        <w:spacing w:before="200"/>
        <w:rPr>
          <w:bCs/>
        </w:rPr>
      </w:pPr>
      <w:r>
        <w:rPr>
          <w:bCs/>
        </w:rPr>
        <w:t>a subsidised variable interest rate for the first 5 years of the loan term;</w:t>
      </w:r>
    </w:p>
    <w:p w14:paraId="6F87FF0D" w14:textId="0A6552EF" w:rsidR="00A73123" w:rsidRDefault="00A73123" w:rsidP="00BA36C9">
      <w:pPr>
        <w:pStyle w:val="ListParagraph"/>
        <w:numPr>
          <w:ilvl w:val="0"/>
          <w:numId w:val="12"/>
        </w:numPr>
        <w:spacing w:before="200"/>
        <w:rPr>
          <w:bCs/>
        </w:rPr>
      </w:pPr>
      <w:r>
        <w:rPr>
          <w:bCs/>
        </w:rPr>
        <w:t>a low 2% deposit requirement;</w:t>
      </w:r>
    </w:p>
    <w:p w14:paraId="6C2B4E4C" w14:textId="67221046" w:rsidR="00A73123" w:rsidRDefault="00A73123" w:rsidP="00BA36C9">
      <w:pPr>
        <w:pStyle w:val="ListParagraph"/>
        <w:numPr>
          <w:ilvl w:val="0"/>
          <w:numId w:val="12"/>
        </w:numPr>
        <w:spacing w:before="200"/>
        <w:rPr>
          <w:bCs/>
        </w:rPr>
      </w:pPr>
      <w:r>
        <w:rPr>
          <w:bCs/>
        </w:rPr>
        <w:t>no lenders mortgage insurance;</w:t>
      </w:r>
    </w:p>
    <w:p w14:paraId="20D72912" w14:textId="2E1A77FC" w:rsidR="00A73123" w:rsidRDefault="00A73123" w:rsidP="00BA36C9">
      <w:pPr>
        <w:pStyle w:val="ListParagraph"/>
        <w:numPr>
          <w:ilvl w:val="0"/>
          <w:numId w:val="12"/>
        </w:numPr>
        <w:spacing w:before="200"/>
        <w:rPr>
          <w:bCs/>
        </w:rPr>
      </w:pPr>
      <w:r>
        <w:rPr>
          <w:bCs/>
        </w:rPr>
        <w:lastRenderedPageBreak/>
        <w:t>no monthly service fees;</w:t>
      </w:r>
    </w:p>
    <w:p w14:paraId="4879D65D" w14:textId="3E0AD175" w:rsidR="00A73123" w:rsidRDefault="00A73123" w:rsidP="00BA36C9">
      <w:pPr>
        <w:pStyle w:val="ListParagraph"/>
        <w:numPr>
          <w:ilvl w:val="0"/>
          <w:numId w:val="12"/>
        </w:numPr>
        <w:spacing w:before="200"/>
        <w:rPr>
          <w:bCs/>
        </w:rPr>
      </w:pPr>
      <w:r>
        <w:rPr>
          <w:bCs/>
        </w:rPr>
        <w:t>up to a 35 year loan term;</w:t>
      </w:r>
    </w:p>
    <w:p w14:paraId="40123857" w14:textId="5AEBFE6F" w:rsidR="00A73123" w:rsidRDefault="00A73123" w:rsidP="00BA36C9">
      <w:pPr>
        <w:pStyle w:val="ListParagraph"/>
        <w:numPr>
          <w:ilvl w:val="0"/>
          <w:numId w:val="12"/>
        </w:numPr>
        <w:spacing w:before="200"/>
        <w:rPr>
          <w:bCs/>
        </w:rPr>
      </w:pPr>
      <w:r>
        <w:rPr>
          <w:bCs/>
        </w:rPr>
        <w:t>no application fee’ and</w:t>
      </w:r>
    </w:p>
    <w:p w14:paraId="2A8CD559" w14:textId="20C8DCE5" w:rsidR="00A73123" w:rsidRDefault="00A73123" w:rsidP="00BA36C9">
      <w:pPr>
        <w:pStyle w:val="ListParagraph"/>
        <w:numPr>
          <w:ilvl w:val="0"/>
          <w:numId w:val="12"/>
        </w:numPr>
        <w:spacing w:before="200" w:after="200"/>
        <w:ind w:left="357" w:hanging="357"/>
        <w:rPr>
          <w:bCs/>
        </w:rPr>
      </w:pPr>
      <w:proofErr w:type="gramStart"/>
      <w:r>
        <w:rPr>
          <w:bCs/>
        </w:rPr>
        <w:t>access</w:t>
      </w:r>
      <w:proofErr w:type="gramEnd"/>
      <w:r>
        <w:rPr>
          <w:bCs/>
        </w:rPr>
        <w:t xml:space="preserve"> to an interest free </w:t>
      </w:r>
      <w:r>
        <w:rPr>
          <w:b/>
          <w:bCs/>
        </w:rPr>
        <w:t xml:space="preserve">Fee Assistance Loan </w:t>
      </w:r>
      <w:r>
        <w:rPr>
          <w:bCs/>
        </w:rPr>
        <w:t>of up to $10,000.</w:t>
      </w:r>
    </w:p>
    <w:p w14:paraId="54CF1010" w14:textId="2405D9E0" w:rsidR="00A73123" w:rsidRDefault="00A73123" w:rsidP="00A73123">
      <w:pPr>
        <w:spacing w:before="200"/>
        <w:rPr>
          <w:bCs/>
        </w:rPr>
      </w:pPr>
      <w:r>
        <w:rPr>
          <w:bCs/>
        </w:rPr>
        <w:t xml:space="preserve">The </w:t>
      </w:r>
      <w:r>
        <w:rPr>
          <w:b/>
          <w:bCs/>
        </w:rPr>
        <w:t xml:space="preserve">Fee Assistance Loan </w:t>
      </w:r>
      <w:r>
        <w:rPr>
          <w:bCs/>
        </w:rPr>
        <w:t xml:space="preserve">is only available to </w:t>
      </w:r>
      <w:r w:rsidRPr="00A73123">
        <w:rPr>
          <w:bCs/>
        </w:rPr>
        <w:t>Subsidised Interest Rate Loan</w:t>
      </w:r>
      <w:r>
        <w:rPr>
          <w:bCs/>
        </w:rPr>
        <w:t xml:space="preserve"> applicants.</w:t>
      </w:r>
    </w:p>
    <w:p w14:paraId="0F84314E" w14:textId="2E683340" w:rsidR="00A73123" w:rsidRPr="00A73123" w:rsidRDefault="00A73123" w:rsidP="00A73123">
      <w:pPr>
        <w:spacing w:before="200"/>
        <w:rPr>
          <w:bCs/>
        </w:rPr>
      </w:pPr>
      <w:r>
        <w:rPr>
          <w:bCs/>
        </w:rPr>
        <w:t xml:space="preserve">This loan enables you to borrow up to $10,000 interest free to help with costs associated with buying a home such as conveyancing, white goods, </w:t>
      </w:r>
      <w:proofErr w:type="gramStart"/>
      <w:r>
        <w:rPr>
          <w:bCs/>
        </w:rPr>
        <w:t>deposit</w:t>
      </w:r>
      <w:proofErr w:type="gramEnd"/>
      <w:r>
        <w:rPr>
          <w:bCs/>
        </w:rPr>
        <w:t xml:space="preserve"> and stamp duty. The </w:t>
      </w:r>
      <w:r>
        <w:rPr>
          <w:b/>
          <w:bCs/>
        </w:rPr>
        <w:t xml:space="preserve">Fee Assistance Loan </w:t>
      </w:r>
      <w:r>
        <w:rPr>
          <w:bCs/>
        </w:rPr>
        <w:t>is repayable over a maximum term of 15 years.</w:t>
      </w:r>
    </w:p>
    <w:p w14:paraId="5F406DFB" w14:textId="28F0AEB1" w:rsidR="00A1780A" w:rsidRPr="00673BED" w:rsidRDefault="00A73123" w:rsidP="00A1780A">
      <w:pPr>
        <w:widowControl w:val="0"/>
        <w:spacing w:before="240"/>
        <w:ind w:right="-23"/>
        <w:outlineLvl w:val="0"/>
        <w:rPr>
          <w:rFonts w:ascii="Lato Semibold" w:eastAsia="Times New Roman" w:hAnsi="Lato Semibold"/>
          <w:bCs/>
          <w:color w:val="1F1F5F"/>
          <w:kern w:val="32"/>
          <w:sz w:val="36"/>
          <w:szCs w:val="32"/>
          <w:lang w:eastAsia="en-AU"/>
        </w:rPr>
      </w:pPr>
      <w:r>
        <w:rPr>
          <w:rFonts w:ascii="Lato Semibold" w:eastAsia="Times New Roman" w:hAnsi="Lato Semibold"/>
          <w:bCs/>
          <w:color w:val="1F1F5F"/>
          <w:kern w:val="32"/>
          <w:sz w:val="36"/>
          <w:szCs w:val="32"/>
          <w:lang w:eastAsia="en-AU"/>
        </w:rPr>
        <w:t>Additional eligibility criteria for Subsidised Interest Rate Loans</w:t>
      </w:r>
    </w:p>
    <w:p w14:paraId="45C82766" w14:textId="20580097" w:rsidR="00A1780A" w:rsidRPr="00673BED" w:rsidRDefault="00A73123" w:rsidP="00A1780A">
      <w:pPr>
        <w:spacing w:after="0"/>
        <w:rPr>
          <w:bCs/>
        </w:rPr>
      </w:pPr>
      <w:r>
        <w:t xml:space="preserve">In addition to the standard eligibility criteria for </w:t>
      </w:r>
      <w:proofErr w:type="spellStart"/>
      <w:r>
        <w:t>HomeBuild</w:t>
      </w:r>
      <w:proofErr w:type="spellEnd"/>
      <w:r>
        <w:t xml:space="preserve"> Access above, to be eligible for a </w:t>
      </w:r>
      <w:r w:rsidRPr="00A73123">
        <w:rPr>
          <w:bCs/>
        </w:rPr>
        <w:t>Subsidised Interest Rate Loan</w:t>
      </w:r>
      <w:r>
        <w:rPr>
          <w:bCs/>
        </w:rPr>
        <w:t>, you must also</w:t>
      </w:r>
      <w:r w:rsidR="00A1780A" w:rsidRPr="00673BED">
        <w:t>:</w:t>
      </w:r>
    </w:p>
    <w:p w14:paraId="62F56B25" w14:textId="77777777" w:rsidR="00A73123" w:rsidRDefault="00A73123" w:rsidP="00BA36C9">
      <w:pPr>
        <w:pStyle w:val="ListParagraph"/>
        <w:numPr>
          <w:ilvl w:val="0"/>
          <w:numId w:val="9"/>
        </w:numPr>
        <w:spacing w:before="200" w:after="200"/>
        <w:ind w:left="357" w:hanging="357"/>
        <w:rPr>
          <w:rFonts w:eastAsia="Calibri"/>
        </w:rPr>
      </w:pPr>
      <w:r>
        <w:rPr>
          <w:rFonts w:eastAsia="Calibri"/>
        </w:rPr>
        <w:t>be a first home buyer in Australia</w:t>
      </w:r>
    </w:p>
    <w:p w14:paraId="2A9C5F81" w14:textId="44A9DADA" w:rsidR="00A1780A" w:rsidRDefault="00A73123" w:rsidP="00BA36C9">
      <w:pPr>
        <w:pStyle w:val="ListParagraph"/>
        <w:numPr>
          <w:ilvl w:val="0"/>
          <w:numId w:val="9"/>
        </w:numPr>
        <w:spacing w:before="200" w:after="200"/>
        <w:ind w:left="357" w:hanging="357"/>
        <w:rPr>
          <w:rFonts w:eastAsia="Calibri"/>
        </w:rPr>
      </w:pPr>
      <w:r>
        <w:rPr>
          <w:rFonts w:eastAsia="Calibri"/>
        </w:rPr>
        <w:t>not exceed the income and asset limits (see below)</w:t>
      </w:r>
      <w:r w:rsidR="00A1780A" w:rsidRPr="00673BED">
        <w:rPr>
          <w:rFonts w:eastAsia="Calibri"/>
        </w:rPr>
        <w:t>;</w:t>
      </w:r>
    </w:p>
    <w:p w14:paraId="433DAFFE" w14:textId="79994351" w:rsidR="00A73123" w:rsidRDefault="00A73123" w:rsidP="00BA36C9">
      <w:pPr>
        <w:pStyle w:val="ListParagraph"/>
        <w:numPr>
          <w:ilvl w:val="0"/>
          <w:numId w:val="9"/>
        </w:numPr>
        <w:spacing w:before="200" w:after="200"/>
        <w:ind w:left="357" w:hanging="357"/>
        <w:rPr>
          <w:rFonts w:eastAsia="Calibri"/>
        </w:rPr>
      </w:pPr>
      <w:r>
        <w:rPr>
          <w:rFonts w:eastAsia="Calibri"/>
        </w:rPr>
        <w:t>provide evidence you are unable to access finance required to complete the purchase or construction of a new home through another financial institution; and</w:t>
      </w:r>
    </w:p>
    <w:p w14:paraId="5EF98490" w14:textId="0C031156" w:rsidR="00A73123" w:rsidRDefault="00A73123" w:rsidP="00BA36C9">
      <w:pPr>
        <w:pStyle w:val="ListParagraph"/>
        <w:numPr>
          <w:ilvl w:val="0"/>
          <w:numId w:val="9"/>
        </w:numPr>
        <w:spacing w:before="200" w:after="200"/>
        <w:ind w:left="357" w:hanging="357"/>
        <w:rPr>
          <w:rFonts w:eastAsia="Calibri"/>
        </w:rPr>
      </w:pPr>
      <w:proofErr w:type="gramStart"/>
      <w:r>
        <w:rPr>
          <w:rFonts w:eastAsia="Calibri"/>
        </w:rPr>
        <w:t>meet</w:t>
      </w:r>
      <w:proofErr w:type="gramEnd"/>
      <w:r>
        <w:rPr>
          <w:rFonts w:eastAsia="Calibri"/>
        </w:rPr>
        <w:t xml:space="preserve"> employment criteria as detailed below.</w:t>
      </w:r>
    </w:p>
    <w:p w14:paraId="6CBCBC39" w14:textId="27869D85" w:rsidR="00A73123" w:rsidRDefault="00A73123" w:rsidP="00A73123">
      <w:pPr>
        <w:spacing w:before="200"/>
        <w:rPr>
          <w:b/>
        </w:rPr>
      </w:pPr>
      <w:r w:rsidRPr="00A73123">
        <w:rPr>
          <w:b/>
        </w:rPr>
        <w:t>Income and asset limits – Subsidised Interest Rate Loan</w:t>
      </w:r>
    </w:p>
    <w:p w14:paraId="7255B61B" w14:textId="3169AA99" w:rsidR="00A73123" w:rsidRDefault="00A73123" w:rsidP="00A73123">
      <w:pPr>
        <w:spacing w:before="200"/>
      </w:pPr>
      <w:r>
        <w:t xml:space="preserve">The following income or asset limits apply to the </w:t>
      </w:r>
      <w:r w:rsidRPr="00A73123">
        <w:rPr>
          <w:b/>
        </w:rPr>
        <w:t>Subsidised Interest Rate Loan</w:t>
      </w:r>
      <w:r>
        <w:t>:</w:t>
      </w:r>
    </w:p>
    <w:tbl>
      <w:tblPr>
        <w:tblStyle w:val="TableGrid"/>
        <w:tblW w:w="10349" w:type="dxa"/>
        <w:tblLook w:val="04A0" w:firstRow="1" w:lastRow="0" w:firstColumn="1" w:lastColumn="0" w:noHBand="0" w:noVBand="1"/>
      </w:tblPr>
      <w:tblGrid>
        <w:gridCol w:w="3585"/>
        <w:gridCol w:w="1513"/>
        <w:gridCol w:w="2013"/>
        <w:gridCol w:w="3197"/>
        <w:gridCol w:w="41"/>
      </w:tblGrid>
      <w:tr w:rsidR="006D0668" w14:paraId="6F7B57A4" w14:textId="1B55539C" w:rsidTr="00AF0E1D">
        <w:trPr>
          <w:gridAfter w:val="1"/>
          <w:wAfter w:w="41" w:type="dxa"/>
        </w:trPr>
        <w:tc>
          <w:tcPr>
            <w:tcW w:w="3585" w:type="dxa"/>
            <w:shd w:val="clear" w:color="auto" w:fill="1F1F5F" w:themeFill="text1"/>
            <w:vAlign w:val="center"/>
          </w:tcPr>
          <w:p w14:paraId="70AA2433" w14:textId="6B2B8100" w:rsidR="006D0668" w:rsidRPr="00C414A9" w:rsidRDefault="006D0668" w:rsidP="00470452">
            <w:pPr>
              <w:spacing w:after="0"/>
              <w:jc w:val="center"/>
              <w:rPr>
                <w:b/>
                <w:bCs/>
                <w:szCs w:val="20"/>
              </w:rPr>
            </w:pPr>
            <w:r>
              <w:rPr>
                <w:b/>
                <w:bCs/>
                <w:szCs w:val="20"/>
              </w:rPr>
              <w:t>Household size</w:t>
            </w:r>
          </w:p>
        </w:tc>
        <w:tc>
          <w:tcPr>
            <w:tcW w:w="3526" w:type="dxa"/>
            <w:gridSpan w:val="2"/>
            <w:shd w:val="clear" w:color="auto" w:fill="1F1F5F" w:themeFill="text1"/>
            <w:vAlign w:val="center"/>
          </w:tcPr>
          <w:p w14:paraId="4A3BB429" w14:textId="5559F227" w:rsidR="006D0668" w:rsidRDefault="006D0668" w:rsidP="00470452">
            <w:pPr>
              <w:spacing w:after="0"/>
              <w:jc w:val="center"/>
              <w:rPr>
                <w:bCs/>
                <w:szCs w:val="20"/>
              </w:rPr>
            </w:pPr>
            <w:r>
              <w:rPr>
                <w:b/>
                <w:bCs/>
                <w:szCs w:val="20"/>
              </w:rPr>
              <w:t>Annual gross income limit</w:t>
            </w:r>
          </w:p>
        </w:tc>
        <w:tc>
          <w:tcPr>
            <w:tcW w:w="3197" w:type="dxa"/>
            <w:shd w:val="clear" w:color="auto" w:fill="1F1F5F" w:themeFill="text1"/>
          </w:tcPr>
          <w:p w14:paraId="3375426B" w14:textId="5DDF70FD" w:rsidR="006D0668" w:rsidRPr="00C414A9" w:rsidRDefault="006D0668" w:rsidP="00470452">
            <w:pPr>
              <w:spacing w:after="0"/>
              <w:jc w:val="center"/>
              <w:rPr>
                <w:b/>
                <w:bCs/>
                <w:szCs w:val="20"/>
              </w:rPr>
            </w:pPr>
            <w:r>
              <w:rPr>
                <w:b/>
                <w:bCs/>
                <w:szCs w:val="20"/>
              </w:rPr>
              <w:t>Asset limit</w:t>
            </w:r>
          </w:p>
        </w:tc>
      </w:tr>
      <w:tr w:rsidR="006D0668" w14:paraId="31946B01" w14:textId="3481C5EF" w:rsidTr="00576665">
        <w:trPr>
          <w:gridAfter w:val="1"/>
          <w:wAfter w:w="41" w:type="dxa"/>
        </w:trPr>
        <w:tc>
          <w:tcPr>
            <w:tcW w:w="3585" w:type="dxa"/>
            <w:vAlign w:val="center"/>
          </w:tcPr>
          <w:p w14:paraId="69DE2B1B" w14:textId="151BEA75" w:rsidR="006D0668" w:rsidRDefault="006D0668" w:rsidP="006D0668">
            <w:pPr>
              <w:spacing w:after="0"/>
              <w:jc w:val="center"/>
              <w:rPr>
                <w:bCs/>
                <w:szCs w:val="20"/>
              </w:rPr>
            </w:pPr>
            <w:r>
              <w:rPr>
                <w:bCs/>
                <w:szCs w:val="20"/>
              </w:rPr>
              <w:t xml:space="preserve">1 </w:t>
            </w:r>
          </w:p>
        </w:tc>
        <w:tc>
          <w:tcPr>
            <w:tcW w:w="3526" w:type="dxa"/>
            <w:gridSpan w:val="2"/>
            <w:vAlign w:val="center"/>
          </w:tcPr>
          <w:p w14:paraId="0B28A6D2" w14:textId="154F3BF6" w:rsidR="006D0668" w:rsidRDefault="006D0668" w:rsidP="00470452">
            <w:pPr>
              <w:spacing w:after="0"/>
              <w:jc w:val="center"/>
              <w:rPr>
                <w:bCs/>
                <w:szCs w:val="20"/>
              </w:rPr>
            </w:pPr>
            <w:r>
              <w:rPr>
                <w:bCs/>
                <w:szCs w:val="20"/>
              </w:rPr>
              <w:t>$80,000</w:t>
            </w:r>
          </w:p>
        </w:tc>
        <w:tc>
          <w:tcPr>
            <w:tcW w:w="3197" w:type="dxa"/>
          </w:tcPr>
          <w:p w14:paraId="71932B1A" w14:textId="1710A7EC" w:rsidR="006D0668" w:rsidRDefault="006D0668" w:rsidP="00470452">
            <w:pPr>
              <w:spacing w:after="0"/>
              <w:jc w:val="center"/>
              <w:rPr>
                <w:bCs/>
                <w:szCs w:val="20"/>
              </w:rPr>
            </w:pPr>
            <w:r>
              <w:rPr>
                <w:bCs/>
                <w:szCs w:val="20"/>
              </w:rPr>
              <w:t>$60,029</w:t>
            </w:r>
          </w:p>
        </w:tc>
      </w:tr>
      <w:tr w:rsidR="006D0668" w14:paraId="5007047C" w14:textId="35E97703" w:rsidTr="00576665">
        <w:trPr>
          <w:gridAfter w:val="1"/>
          <w:wAfter w:w="41" w:type="dxa"/>
        </w:trPr>
        <w:tc>
          <w:tcPr>
            <w:tcW w:w="3585" w:type="dxa"/>
            <w:vAlign w:val="center"/>
          </w:tcPr>
          <w:p w14:paraId="25D9DF5B" w14:textId="4E4702E7" w:rsidR="006D0668" w:rsidRDefault="006D0668" w:rsidP="00470452">
            <w:pPr>
              <w:spacing w:after="0"/>
              <w:jc w:val="center"/>
              <w:rPr>
                <w:bCs/>
                <w:szCs w:val="20"/>
              </w:rPr>
            </w:pPr>
            <w:r>
              <w:rPr>
                <w:bCs/>
                <w:szCs w:val="20"/>
              </w:rPr>
              <w:t>2</w:t>
            </w:r>
          </w:p>
        </w:tc>
        <w:tc>
          <w:tcPr>
            <w:tcW w:w="3526" w:type="dxa"/>
            <w:gridSpan w:val="2"/>
            <w:vAlign w:val="center"/>
          </w:tcPr>
          <w:p w14:paraId="325A5F4E" w14:textId="3E047278" w:rsidR="006D0668" w:rsidRDefault="006D0668" w:rsidP="00470452">
            <w:pPr>
              <w:spacing w:after="0"/>
              <w:jc w:val="center"/>
              <w:rPr>
                <w:bCs/>
                <w:szCs w:val="20"/>
              </w:rPr>
            </w:pPr>
            <w:r>
              <w:rPr>
                <w:bCs/>
                <w:szCs w:val="20"/>
              </w:rPr>
              <w:t>$97,500</w:t>
            </w:r>
          </w:p>
        </w:tc>
        <w:tc>
          <w:tcPr>
            <w:tcW w:w="3197" w:type="dxa"/>
          </w:tcPr>
          <w:p w14:paraId="58877D96" w14:textId="6F6405B5" w:rsidR="006D0668" w:rsidRDefault="006D0668" w:rsidP="00470452">
            <w:pPr>
              <w:spacing w:after="0"/>
              <w:jc w:val="center"/>
              <w:rPr>
                <w:bCs/>
                <w:szCs w:val="20"/>
              </w:rPr>
            </w:pPr>
            <w:r>
              <w:rPr>
                <w:bCs/>
                <w:szCs w:val="20"/>
              </w:rPr>
              <w:t>$85,735</w:t>
            </w:r>
          </w:p>
        </w:tc>
      </w:tr>
      <w:tr w:rsidR="006D0668" w14:paraId="4F7A8D2E" w14:textId="77777777" w:rsidTr="00576665">
        <w:trPr>
          <w:gridAfter w:val="1"/>
          <w:wAfter w:w="41" w:type="dxa"/>
        </w:trPr>
        <w:tc>
          <w:tcPr>
            <w:tcW w:w="3585" w:type="dxa"/>
            <w:vAlign w:val="center"/>
          </w:tcPr>
          <w:p w14:paraId="7388027F" w14:textId="47649158" w:rsidR="006D0668" w:rsidRDefault="006D0668" w:rsidP="00470452">
            <w:pPr>
              <w:spacing w:after="0"/>
              <w:jc w:val="center"/>
              <w:rPr>
                <w:bCs/>
                <w:szCs w:val="20"/>
              </w:rPr>
            </w:pPr>
            <w:r>
              <w:rPr>
                <w:bCs/>
                <w:szCs w:val="20"/>
              </w:rPr>
              <w:t>3</w:t>
            </w:r>
          </w:p>
        </w:tc>
        <w:tc>
          <w:tcPr>
            <w:tcW w:w="3526" w:type="dxa"/>
            <w:gridSpan w:val="2"/>
            <w:vAlign w:val="center"/>
          </w:tcPr>
          <w:p w14:paraId="43D4C2F0" w14:textId="2ED14E10" w:rsidR="006D0668" w:rsidRDefault="006D0668" w:rsidP="00470452">
            <w:pPr>
              <w:spacing w:after="0"/>
              <w:jc w:val="center"/>
              <w:rPr>
                <w:bCs/>
                <w:szCs w:val="20"/>
              </w:rPr>
            </w:pPr>
            <w:r>
              <w:rPr>
                <w:bCs/>
                <w:szCs w:val="20"/>
              </w:rPr>
              <w:t>$105,000</w:t>
            </w:r>
          </w:p>
        </w:tc>
        <w:tc>
          <w:tcPr>
            <w:tcW w:w="3197" w:type="dxa"/>
          </w:tcPr>
          <w:p w14:paraId="54475451" w14:textId="2C7DB1FA" w:rsidR="006D0668" w:rsidRDefault="006D0668" w:rsidP="00470452">
            <w:pPr>
              <w:spacing w:after="0"/>
              <w:jc w:val="center"/>
              <w:rPr>
                <w:bCs/>
                <w:szCs w:val="20"/>
              </w:rPr>
            </w:pPr>
            <w:r>
              <w:rPr>
                <w:bCs/>
                <w:szCs w:val="20"/>
              </w:rPr>
              <w:t>$135,855</w:t>
            </w:r>
          </w:p>
        </w:tc>
      </w:tr>
      <w:tr w:rsidR="006D0668" w14:paraId="39E6924E" w14:textId="77777777" w:rsidTr="00576665">
        <w:trPr>
          <w:gridAfter w:val="1"/>
          <w:wAfter w:w="41" w:type="dxa"/>
        </w:trPr>
        <w:tc>
          <w:tcPr>
            <w:tcW w:w="3585" w:type="dxa"/>
            <w:vAlign w:val="center"/>
          </w:tcPr>
          <w:p w14:paraId="35A4D9B3" w14:textId="2F4A6097" w:rsidR="006D0668" w:rsidRDefault="006D0668" w:rsidP="00470452">
            <w:pPr>
              <w:spacing w:after="0"/>
              <w:jc w:val="center"/>
              <w:rPr>
                <w:bCs/>
                <w:szCs w:val="20"/>
              </w:rPr>
            </w:pPr>
            <w:r>
              <w:rPr>
                <w:bCs/>
                <w:szCs w:val="20"/>
              </w:rPr>
              <w:t>4</w:t>
            </w:r>
          </w:p>
        </w:tc>
        <w:tc>
          <w:tcPr>
            <w:tcW w:w="3526" w:type="dxa"/>
            <w:gridSpan w:val="2"/>
            <w:vAlign w:val="center"/>
          </w:tcPr>
          <w:p w14:paraId="104080F6" w14:textId="0943860F" w:rsidR="006D0668" w:rsidRDefault="006D0668" w:rsidP="00470452">
            <w:pPr>
              <w:spacing w:after="0"/>
              <w:jc w:val="center"/>
              <w:rPr>
                <w:bCs/>
                <w:szCs w:val="20"/>
              </w:rPr>
            </w:pPr>
            <w:r>
              <w:rPr>
                <w:bCs/>
                <w:szCs w:val="20"/>
              </w:rPr>
              <w:t>$112,500</w:t>
            </w:r>
          </w:p>
        </w:tc>
        <w:tc>
          <w:tcPr>
            <w:tcW w:w="3197" w:type="dxa"/>
          </w:tcPr>
          <w:p w14:paraId="15A018DD" w14:textId="021E691C" w:rsidR="006D0668" w:rsidRDefault="006D0668" w:rsidP="00470452">
            <w:pPr>
              <w:spacing w:after="0"/>
              <w:jc w:val="center"/>
              <w:rPr>
                <w:bCs/>
                <w:szCs w:val="20"/>
              </w:rPr>
            </w:pPr>
            <w:r>
              <w:rPr>
                <w:bCs/>
                <w:szCs w:val="20"/>
              </w:rPr>
              <w:t>$135,855</w:t>
            </w:r>
          </w:p>
        </w:tc>
      </w:tr>
      <w:tr w:rsidR="006D0668" w14:paraId="73BC994C" w14:textId="77777777" w:rsidTr="00576665">
        <w:trPr>
          <w:gridAfter w:val="1"/>
          <w:wAfter w:w="41" w:type="dxa"/>
        </w:trPr>
        <w:tc>
          <w:tcPr>
            <w:tcW w:w="3585" w:type="dxa"/>
            <w:tcBorders>
              <w:bottom w:val="single" w:sz="4" w:space="0" w:color="auto"/>
            </w:tcBorders>
            <w:vAlign w:val="center"/>
          </w:tcPr>
          <w:p w14:paraId="20F2F58D" w14:textId="0A25074E" w:rsidR="006D0668" w:rsidRDefault="006D0668" w:rsidP="00470452">
            <w:pPr>
              <w:spacing w:after="0"/>
              <w:jc w:val="center"/>
              <w:rPr>
                <w:bCs/>
                <w:szCs w:val="20"/>
              </w:rPr>
            </w:pPr>
            <w:r>
              <w:rPr>
                <w:bCs/>
                <w:szCs w:val="20"/>
              </w:rPr>
              <w:t>5</w:t>
            </w:r>
          </w:p>
        </w:tc>
        <w:tc>
          <w:tcPr>
            <w:tcW w:w="3526" w:type="dxa"/>
            <w:gridSpan w:val="2"/>
            <w:tcBorders>
              <w:bottom w:val="single" w:sz="4" w:space="0" w:color="auto"/>
            </w:tcBorders>
            <w:vAlign w:val="center"/>
          </w:tcPr>
          <w:p w14:paraId="23C2E37D" w14:textId="4BBF3ADA" w:rsidR="006D0668" w:rsidRDefault="006D0668" w:rsidP="00470452">
            <w:pPr>
              <w:spacing w:after="0"/>
              <w:jc w:val="center"/>
              <w:rPr>
                <w:bCs/>
                <w:szCs w:val="20"/>
              </w:rPr>
            </w:pPr>
            <w:r>
              <w:rPr>
                <w:bCs/>
                <w:szCs w:val="20"/>
              </w:rPr>
              <w:t>$120,000</w:t>
            </w:r>
          </w:p>
        </w:tc>
        <w:tc>
          <w:tcPr>
            <w:tcW w:w="3197" w:type="dxa"/>
            <w:tcBorders>
              <w:bottom w:val="single" w:sz="4" w:space="0" w:color="auto"/>
            </w:tcBorders>
          </w:tcPr>
          <w:p w14:paraId="069DEDE8" w14:textId="52B0EA9E" w:rsidR="006D0668" w:rsidRDefault="006D0668" w:rsidP="00470452">
            <w:pPr>
              <w:spacing w:after="0"/>
              <w:jc w:val="center"/>
              <w:rPr>
                <w:bCs/>
                <w:szCs w:val="20"/>
              </w:rPr>
            </w:pPr>
            <w:r>
              <w:rPr>
                <w:bCs/>
                <w:szCs w:val="20"/>
              </w:rPr>
              <w:t>$135,855</w:t>
            </w:r>
          </w:p>
        </w:tc>
      </w:tr>
      <w:tr w:rsidR="006D0668" w14:paraId="5C8AE290" w14:textId="77777777" w:rsidTr="00576665">
        <w:trPr>
          <w:gridAfter w:val="1"/>
          <w:wAfter w:w="41" w:type="dxa"/>
        </w:trPr>
        <w:tc>
          <w:tcPr>
            <w:tcW w:w="3585" w:type="dxa"/>
            <w:tcBorders>
              <w:bottom w:val="single" w:sz="4" w:space="0" w:color="auto"/>
            </w:tcBorders>
            <w:vAlign w:val="center"/>
          </w:tcPr>
          <w:p w14:paraId="0B8DABA0" w14:textId="07989D21" w:rsidR="006D0668" w:rsidRDefault="006D0668" w:rsidP="00470452">
            <w:pPr>
              <w:spacing w:after="0"/>
              <w:jc w:val="center"/>
              <w:rPr>
                <w:bCs/>
                <w:szCs w:val="20"/>
              </w:rPr>
            </w:pPr>
            <w:r>
              <w:rPr>
                <w:bCs/>
                <w:szCs w:val="20"/>
              </w:rPr>
              <w:t>6 or more</w:t>
            </w:r>
          </w:p>
        </w:tc>
        <w:tc>
          <w:tcPr>
            <w:tcW w:w="3526" w:type="dxa"/>
            <w:gridSpan w:val="2"/>
            <w:tcBorders>
              <w:bottom w:val="single" w:sz="4" w:space="0" w:color="auto"/>
            </w:tcBorders>
            <w:vAlign w:val="center"/>
          </w:tcPr>
          <w:p w14:paraId="54FDDF42" w14:textId="6897275E" w:rsidR="006D0668" w:rsidRDefault="006D0668" w:rsidP="00470452">
            <w:pPr>
              <w:spacing w:after="0"/>
              <w:jc w:val="center"/>
              <w:rPr>
                <w:bCs/>
                <w:szCs w:val="20"/>
              </w:rPr>
            </w:pPr>
            <w:r>
              <w:rPr>
                <w:bCs/>
                <w:szCs w:val="20"/>
              </w:rPr>
              <w:t>$127,500</w:t>
            </w:r>
          </w:p>
        </w:tc>
        <w:tc>
          <w:tcPr>
            <w:tcW w:w="3197" w:type="dxa"/>
            <w:tcBorders>
              <w:bottom w:val="single" w:sz="4" w:space="0" w:color="auto"/>
            </w:tcBorders>
          </w:tcPr>
          <w:p w14:paraId="2A6AC16B" w14:textId="334F494D" w:rsidR="006D0668" w:rsidRDefault="006D0668" w:rsidP="00470452">
            <w:pPr>
              <w:spacing w:after="0"/>
              <w:jc w:val="center"/>
              <w:rPr>
                <w:bCs/>
                <w:szCs w:val="20"/>
              </w:rPr>
            </w:pPr>
            <w:r>
              <w:rPr>
                <w:bCs/>
                <w:szCs w:val="20"/>
              </w:rPr>
              <w:t>$135,855</w:t>
            </w:r>
          </w:p>
        </w:tc>
      </w:tr>
      <w:tr w:rsidR="00576665" w14:paraId="434D8518" w14:textId="77777777" w:rsidTr="00576665">
        <w:trPr>
          <w:gridAfter w:val="1"/>
          <w:wAfter w:w="41" w:type="dxa"/>
        </w:trPr>
        <w:tc>
          <w:tcPr>
            <w:tcW w:w="3585" w:type="dxa"/>
            <w:tcBorders>
              <w:top w:val="single" w:sz="4" w:space="0" w:color="auto"/>
              <w:left w:val="nil"/>
              <w:bottom w:val="nil"/>
              <w:right w:val="nil"/>
            </w:tcBorders>
            <w:vAlign w:val="center"/>
          </w:tcPr>
          <w:p w14:paraId="2D3B43C0" w14:textId="77777777" w:rsidR="00576665" w:rsidRDefault="00576665" w:rsidP="00470452">
            <w:pPr>
              <w:spacing w:after="0"/>
              <w:jc w:val="center"/>
              <w:rPr>
                <w:bCs/>
                <w:szCs w:val="20"/>
              </w:rPr>
            </w:pPr>
          </w:p>
        </w:tc>
        <w:tc>
          <w:tcPr>
            <w:tcW w:w="3526" w:type="dxa"/>
            <w:gridSpan w:val="2"/>
            <w:tcBorders>
              <w:top w:val="single" w:sz="4" w:space="0" w:color="auto"/>
              <w:left w:val="nil"/>
              <w:bottom w:val="nil"/>
              <w:right w:val="nil"/>
            </w:tcBorders>
            <w:vAlign w:val="center"/>
          </w:tcPr>
          <w:p w14:paraId="55A2DED6" w14:textId="77777777" w:rsidR="00576665" w:rsidRDefault="00576665" w:rsidP="00470452">
            <w:pPr>
              <w:spacing w:after="0"/>
              <w:jc w:val="center"/>
              <w:rPr>
                <w:bCs/>
                <w:szCs w:val="20"/>
              </w:rPr>
            </w:pPr>
          </w:p>
        </w:tc>
        <w:tc>
          <w:tcPr>
            <w:tcW w:w="3197" w:type="dxa"/>
            <w:tcBorders>
              <w:top w:val="single" w:sz="4" w:space="0" w:color="auto"/>
              <w:left w:val="nil"/>
              <w:bottom w:val="nil"/>
              <w:right w:val="nil"/>
            </w:tcBorders>
          </w:tcPr>
          <w:p w14:paraId="644B9986" w14:textId="77777777" w:rsidR="00576665" w:rsidRDefault="00576665" w:rsidP="00470452">
            <w:pPr>
              <w:spacing w:after="0"/>
              <w:jc w:val="center"/>
              <w:rPr>
                <w:bCs/>
                <w:szCs w:val="20"/>
              </w:rPr>
            </w:pPr>
          </w:p>
        </w:tc>
      </w:tr>
      <w:tr w:rsidR="006D0668" w14:paraId="0C4D0C03" w14:textId="77777777" w:rsidTr="00AF0E1D">
        <w:trPr>
          <w:trHeight w:val="200"/>
        </w:trPr>
        <w:tc>
          <w:tcPr>
            <w:tcW w:w="5098" w:type="dxa"/>
            <w:gridSpan w:val="2"/>
            <w:tcBorders>
              <w:top w:val="nil"/>
              <w:left w:val="nil"/>
              <w:bottom w:val="nil"/>
              <w:right w:val="nil"/>
            </w:tcBorders>
            <w:shd w:val="clear" w:color="auto" w:fill="1F1F5F" w:themeFill="text1"/>
            <w:vAlign w:val="center"/>
          </w:tcPr>
          <w:p w14:paraId="5D10F39F" w14:textId="74B7A5A8" w:rsidR="006D0668" w:rsidRDefault="006D0668" w:rsidP="006D0668">
            <w:pPr>
              <w:spacing w:after="0"/>
              <w:rPr>
                <w:b/>
                <w:bCs/>
                <w:szCs w:val="20"/>
              </w:rPr>
            </w:pPr>
            <w:r>
              <w:rPr>
                <w:b/>
              </w:rPr>
              <w:t xml:space="preserve">Annual gross income </w:t>
            </w:r>
            <w:r w:rsidRPr="006D0668">
              <w:t>includes</w:t>
            </w:r>
          </w:p>
        </w:tc>
        <w:tc>
          <w:tcPr>
            <w:tcW w:w="5251" w:type="dxa"/>
            <w:gridSpan w:val="3"/>
            <w:tcBorders>
              <w:top w:val="nil"/>
              <w:left w:val="nil"/>
              <w:bottom w:val="nil"/>
              <w:right w:val="nil"/>
            </w:tcBorders>
            <w:shd w:val="clear" w:color="auto" w:fill="1F1F5F" w:themeFill="text1"/>
            <w:vAlign w:val="center"/>
          </w:tcPr>
          <w:p w14:paraId="6B6B3E97" w14:textId="3C554672" w:rsidR="006D0668" w:rsidRPr="006D0668" w:rsidRDefault="006D0668" w:rsidP="006D0668">
            <w:pPr>
              <w:spacing w:after="0"/>
              <w:rPr>
                <w:bCs/>
                <w:szCs w:val="20"/>
              </w:rPr>
            </w:pPr>
            <w:r>
              <w:rPr>
                <w:b/>
                <w:bCs/>
                <w:szCs w:val="20"/>
              </w:rPr>
              <w:t xml:space="preserve">Assets </w:t>
            </w:r>
            <w:r>
              <w:rPr>
                <w:bCs/>
                <w:szCs w:val="20"/>
              </w:rPr>
              <w:t>include</w:t>
            </w:r>
          </w:p>
        </w:tc>
      </w:tr>
      <w:tr w:rsidR="006D0668" w14:paraId="6229B7DD" w14:textId="77777777" w:rsidTr="00AF0E1D">
        <w:trPr>
          <w:trHeight w:val="200"/>
        </w:trPr>
        <w:tc>
          <w:tcPr>
            <w:tcW w:w="5098" w:type="dxa"/>
            <w:gridSpan w:val="2"/>
            <w:tcBorders>
              <w:top w:val="nil"/>
            </w:tcBorders>
            <w:vAlign w:val="center"/>
          </w:tcPr>
          <w:p w14:paraId="2A298BB4" w14:textId="0F4FAEA2" w:rsidR="006D0668" w:rsidRPr="006D0668" w:rsidRDefault="006D0668" w:rsidP="006D0668">
            <w:pPr>
              <w:spacing w:after="0"/>
              <w:rPr>
                <w:bCs/>
                <w:szCs w:val="20"/>
              </w:rPr>
            </w:pPr>
            <w:r>
              <w:rPr>
                <w:bCs/>
                <w:szCs w:val="20"/>
              </w:rPr>
              <w:t>w</w:t>
            </w:r>
            <w:r w:rsidRPr="006D0668">
              <w:rPr>
                <w:bCs/>
                <w:szCs w:val="20"/>
              </w:rPr>
              <w:t>ages/salary</w:t>
            </w:r>
          </w:p>
        </w:tc>
        <w:tc>
          <w:tcPr>
            <w:tcW w:w="5251" w:type="dxa"/>
            <w:gridSpan w:val="3"/>
            <w:tcBorders>
              <w:top w:val="nil"/>
            </w:tcBorders>
            <w:vAlign w:val="center"/>
          </w:tcPr>
          <w:p w14:paraId="02D28AF6" w14:textId="700D9F6B" w:rsidR="006D0668" w:rsidRPr="006D0668" w:rsidRDefault="006D0668" w:rsidP="006D0668">
            <w:pPr>
              <w:spacing w:after="0"/>
              <w:rPr>
                <w:bCs/>
                <w:szCs w:val="20"/>
              </w:rPr>
            </w:pPr>
            <w:r w:rsidRPr="006D0668">
              <w:rPr>
                <w:bCs/>
                <w:szCs w:val="20"/>
              </w:rPr>
              <w:t>Ca</w:t>
            </w:r>
            <w:r>
              <w:rPr>
                <w:bCs/>
                <w:szCs w:val="20"/>
              </w:rPr>
              <w:t>sh holdings</w:t>
            </w:r>
          </w:p>
        </w:tc>
      </w:tr>
      <w:tr w:rsidR="006D0668" w14:paraId="35313E25" w14:textId="77777777" w:rsidTr="00AF0E1D">
        <w:trPr>
          <w:trHeight w:val="200"/>
        </w:trPr>
        <w:tc>
          <w:tcPr>
            <w:tcW w:w="5098" w:type="dxa"/>
            <w:gridSpan w:val="2"/>
            <w:vAlign w:val="center"/>
          </w:tcPr>
          <w:p w14:paraId="475852F1" w14:textId="63A86E24" w:rsidR="006D0668" w:rsidRPr="006D0668" w:rsidRDefault="006D0668" w:rsidP="006D0668">
            <w:pPr>
              <w:spacing w:after="0"/>
              <w:rPr>
                <w:bCs/>
                <w:szCs w:val="20"/>
              </w:rPr>
            </w:pPr>
            <w:r>
              <w:rPr>
                <w:bCs/>
                <w:szCs w:val="20"/>
              </w:rPr>
              <w:t>r</w:t>
            </w:r>
            <w:r w:rsidRPr="006D0668">
              <w:rPr>
                <w:bCs/>
                <w:szCs w:val="20"/>
              </w:rPr>
              <w:t>egular overtime</w:t>
            </w:r>
          </w:p>
        </w:tc>
        <w:tc>
          <w:tcPr>
            <w:tcW w:w="5251" w:type="dxa"/>
            <w:gridSpan w:val="3"/>
            <w:vAlign w:val="center"/>
          </w:tcPr>
          <w:p w14:paraId="757F717A" w14:textId="379A42F1" w:rsidR="006D0668" w:rsidRPr="006D0668" w:rsidRDefault="006D0668" w:rsidP="006D0668">
            <w:pPr>
              <w:spacing w:after="0"/>
              <w:rPr>
                <w:bCs/>
                <w:szCs w:val="20"/>
              </w:rPr>
            </w:pPr>
            <w:r>
              <w:rPr>
                <w:bCs/>
                <w:szCs w:val="20"/>
              </w:rPr>
              <w:t>Shares in estates</w:t>
            </w:r>
          </w:p>
        </w:tc>
      </w:tr>
      <w:tr w:rsidR="006D0668" w14:paraId="0CE07312" w14:textId="77777777" w:rsidTr="00AF0E1D">
        <w:trPr>
          <w:trHeight w:val="200"/>
        </w:trPr>
        <w:tc>
          <w:tcPr>
            <w:tcW w:w="5098" w:type="dxa"/>
            <w:gridSpan w:val="2"/>
            <w:vAlign w:val="center"/>
          </w:tcPr>
          <w:p w14:paraId="30991CEF" w14:textId="6F9821D8" w:rsidR="006D0668" w:rsidRPr="006D0668" w:rsidRDefault="006D0668" w:rsidP="006D0668">
            <w:pPr>
              <w:spacing w:after="0"/>
              <w:rPr>
                <w:bCs/>
                <w:szCs w:val="20"/>
              </w:rPr>
            </w:pPr>
            <w:r>
              <w:rPr>
                <w:bCs/>
                <w:szCs w:val="20"/>
              </w:rPr>
              <w:t>c</w:t>
            </w:r>
            <w:r w:rsidRPr="006D0668">
              <w:rPr>
                <w:bCs/>
                <w:szCs w:val="20"/>
              </w:rPr>
              <w:t>arer allowance or carer payment</w:t>
            </w:r>
          </w:p>
        </w:tc>
        <w:tc>
          <w:tcPr>
            <w:tcW w:w="5251" w:type="dxa"/>
            <w:gridSpan w:val="3"/>
            <w:vAlign w:val="center"/>
          </w:tcPr>
          <w:p w14:paraId="3D29EFC7" w14:textId="771DB194" w:rsidR="006D0668" w:rsidRPr="006D0668" w:rsidRDefault="006D0668" w:rsidP="006D0668">
            <w:pPr>
              <w:spacing w:after="0"/>
              <w:rPr>
                <w:bCs/>
                <w:szCs w:val="20"/>
              </w:rPr>
            </w:pPr>
            <w:r>
              <w:rPr>
                <w:bCs/>
                <w:szCs w:val="20"/>
              </w:rPr>
              <w:t>Savings</w:t>
            </w:r>
          </w:p>
        </w:tc>
      </w:tr>
      <w:tr w:rsidR="006D0668" w14:paraId="5A09E02C" w14:textId="77777777" w:rsidTr="00AF0E1D">
        <w:trPr>
          <w:trHeight w:val="200"/>
        </w:trPr>
        <w:tc>
          <w:tcPr>
            <w:tcW w:w="5098" w:type="dxa"/>
            <w:gridSpan w:val="2"/>
            <w:vAlign w:val="center"/>
          </w:tcPr>
          <w:p w14:paraId="72843F7C" w14:textId="73B098C4" w:rsidR="006D0668" w:rsidRPr="006D0668" w:rsidRDefault="006D0668" w:rsidP="006D0668">
            <w:pPr>
              <w:spacing w:after="0"/>
              <w:rPr>
                <w:bCs/>
                <w:szCs w:val="20"/>
              </w:rPr>
            </w:pPr>
            <w:r>
              <w:rPr>
                <w:bCs/>
                <w:szCs w:val="20"/>
              </w:rPr>
              <w:t>d</w:t>
            </w:r>
            <w:r w:rsidRPr="006D0668">
              <w:rPr>
                <w:bCs/>
                <w:szCs w:val="20"/>
              </w:rPr>
              <w:t>istrict allowance</w:t>
            </w:r>
          </w:p>
        </w:tc>
        <w:tc>
          <w:tcPr>
            <w:tcW w:w="5251" w:type="dxa"/>
            <w:gridSpan w:val="3"/>
            <w:vAlign w:val="center"/>
          </w:tcPr>
          <w:p w14:paraId="19AB41D9" w14:textId="4C5102CA" w:rsidR="006D0668" w:rsidRPr="006D0668" w:rsidRDefault="006D0668" w:rsidP="006D0668">
            <w:pPr>
              <w:spacing w:after="0"/>
              <w:rPr>
                <w:bCs/>
                <w:szCs w:val="20"/>
              </w:rPr>
            </w:pPr>
            <w:r>
              <w:rPr>
                <w:bCs/>
                <w:szCs w:val="20"/>
              </w:rPr>
              <w:t>Stock market shares, bonds and investments</w:t>
            </w:r>
          </w:p>
        </w:tc>
      </w:tr>
      <w:tr w:rsidR="006D0668" w14:paraId="70DB550B" w14:textId="77777777" w:rsidTr="00AF0E1D">
        <w:trPr>
          <w:trHeight w:val="200"/>
        </w:trPr>
        <w:tc>
          <w:tcPr>
            <w:tcW w:w="5098" w:type="dxa"/>
            <w:gridSpan w:val="2"/>
            <w:vAlign w:val="center"/>
          </w:tcPr>
          <w:p w14:paraId="66ED7308" w14:textId="7527D196" w:rsidR="006D0668" w:rsidRPr="006D0668" w:rsidRDefault="006D0668" w:rsidP="006D0668">
            <w:pPr>
              <w:spacing w:after="0"/>
              <w:rPr>
                <w:bCs/>
                <w:szCs w:val="20"/>
              </w:rPr>
            </w:pPr>
            <w:r>
              <w:rPr>
                <w:bCs/>
                <w:szCs w:val="20"/>
              </w:rPr>
              <w:t>f</w:t>
            </w:r>
            <w:r w:rsidRPr="006D0668">
              <w:rPr>
                <w:bCs/>
                <w:szCs w:val="20"/>
              </w:rPr>
              <w:t>irst aid allowance</w:t>
            </w:r>
          </w:p>
        </w:tc>
        <w:tc>
          <w:tcPr>
            <w:tcW w:w="5251" w:type="dxa"/>
            <w:gridSpan w:val="3"/>
            <w:vAlign w:val="center"/>
          </w:tcPr>
          <w:p w14:paraId="47E9D69E" w14:textId="5A61B088" w:rsidR="006D0668" w:rsidRPr="006D0668" w:rsidRDefault="006D0668" w:rsidP="006D0668">
            <w:pPr>
              <w:spacing w:after="0"/>
              <w:rPr>
                <w:bCs/>
                <w:szCs w:val="20"/>
              </w:rPr>
            </w:pPr>
            <w:r>
              <w:rPr>
                <w:bCs/>
                <w:szCs w:val="20"/>
              </w:rPr>
              <w:t xml:space="preserve">Superannuation funds that can be realised </w:t>
            </w:r>
          </w:p>
        </w:tc>
      </w:tr>
      <w:tr w:rsidR="006D0668" w14:paraId="256937F4" w14:textId="77777777" w:rsidTr="00AF0E1D">
        <w:trPr>
          <w:trHeight w:val="200"/>
        </w:trPr>
        <w:tc>
          <w:tcPr>
            <w:tcW w:w="5098" w:type="dxa"/>
            <w:gridSpan w:val="2"/>
            <w:vAlign w:val="center"/>
          </w:tcPr>
          <w:p w14:paraId="74D8FBB6" w14:textId="1E92EDC7" w:rsidR="006D0668" w:rsidRPr="006D0668" w:rsidRDefault="006D0668" w:rsidP="006D0668">
            <w:pPr>
              <w:spacing w:after="0"/>
              <w:rPr>
                <w:bCs/>
                <w:szCs w:val="20"/>
              </w:rPr>
            </w:pPr>
            <w:r>
              <w:rPr>
                <w:bCs/>
                <w:szCs w:val="20"/>
              </w:rPr>
              <w:t>h</w:t>
            </w:r>
            <w:r w:rsidRPr="006D0668">
              <w:rPr>
                <w:bCs/>
                <w:szCs w:val="20"/>
              </w:rPr>
              <w:t>ousing allowance</w:t>
            </w:r>
          </w:p>
        </w:tc>
        <w:tc>
          <w:tcPr>
            <w:tcW w:w="5251" w:type="dxa"/>
            <w:gridSpan w:val="3"/>
            <w:vAlign w:val="center"/>
          </w:tcPr>
          <w:p w14:paraId="433D656F" w14:textId="003FE515" w:rsidR="006D0668" w:rsidRPr="006D0668" w:rsidRDefault="006D0668" w:rsidP="006D0668">
            <w:pPr>
              <w:spacing w:after="0"/>
              <w:rPr>
                <w:bCs/>
                <w:szCs w:val="20"/>
              </w:rPr>
            </w:pPr>
            <w:r>
              <w:rPr>
                <w:bCs/>
                <w:szCs w:val="20"/>
              </w:rPr>
              <w:t>Recreation vehicles such as caravans, mobile homes and boats</w:t>
            </w:r>
          </w:p>
        </w:tc>
      </w:tr>
      <w:tr w:rsidR="006D0668" w14:paraId="5E9C238B" w14:textId="77777777" w:rsidTr="00AF0E1D">
        <w:trPr>
          <w:trHeight w:val="200"/>
        </w:trPr>
        <w:tc>
          <w:tcPr>
            <w:tcW w:w="5098" w:type="dxa"/>
            <w:gridSpan w:val="2"/>
            <w:vAlign w:val="center"/>
          </w:tcPr>
          <w:p w14:paraId="00B5502A" w14:textId="2E86A568" w:rsidR="006D0668" w:rsidRPr="006D0668" w:rsidRDefault="006D0668" w:rsidP="006D0668">
            <w:pPr>
              <w:spacing w:after="0"/>
              <w:rPr>
                <w:bCs/>
                <w:szCs w:val="20"/>
              </w:rPr>
            </w:pPr>
            <w:r>
              <w:rPr>
                <w:bCs/>
                <w:szCs w:val="20"/>
              </w:rPr>
              <w:t>n</w:t>
            </w:r>
            <w:r w:rsidRPr="006D0668">
              <w:rPr>
                <w:bCs/>
                <w:szCs w:val="20"/>
              </w:rPr>
              <w:t>et profit (loss) from business</w:t>
            </w:r>
          </w:p>
        </w:tc>
        <w:tc>
          <w:tcPr>
            <w:tcW w:w="5251" w:type="dxa"/>
            <w:gridSpan w:val="3"/>
            <w:vAlign w:val="center"/>
          </w:tcPr>
          <w:p w14:paraId="46D11840" w14:textId="43CE4046" w:rsidR="006D0668" w:rsidRPr="006D0668" w:rsidRDefault="006D0668" w:rsidP="006D0668">
            <w:pPr>
              <w:spacing w:after="0"/>
              <w:rPr>
                <w:bCs/>
                <w:szCs w:val="20"/>
              </w:rPr>
            </w:pPr>
            <w:r>
              <w:rPr>
                <w:bCs/>
                <w:szCs w:val="20"/>
              </w:rPr>
              <w:t>Value of any interest or equity in land or property</w:t>
            </w:r>
          </w:p>
        </w:tc>
      </w:tr>
      <w:tr w:rsidR="006D0668" w14:paraId="5F4A2851" w14:textId="77777777" w:rsidTr="00AF0E1D">
        <w:trPr>
          <w:trHeight w:val="200"/>
        </w:trPr>
        <w:tc>
          <w:tcPr>
            <w:tcW w:w="5098" w:type="dxa"/>
            <w:gridSpan w:val="2"/>
            <w:vAlign w:val="center"/>
          </w:tcPr>
          <w:p w14:paraId="74B0FED2" w14:textId="0A88DF72" w:rsidR="006D0668" w:rsidRPr="006D0668" w:rsidRDefault="006D0668" w:rsidP="006D0668">
            <w:pPr>
              <w:spacing w:after="0"/>
              <w:rPr>
                <w:bCs/>
                <w:szCs w:val="20"/>
              </w:rPr>
            </w:pPr>
            <w:proofErr w:type="spellStart"/>
            <w:r>
              <w:rPr>
                <w:bCs/>
                <w:szCs w:val="20"/>
              </w:rPr>
              <w:t>N</w:t>
            </w:r>
            <w:r w:rsidRPr="006D0668">
              <w:rPr>
                <w:bCs/>
                <w:szCs w:val="20"/>
              </w:rPr>
              <w:t>ewstart</w:t>
            </w:r>
            <w:proofErr w:type="spellEnd"/>
            <w:r w:rsidRPr="006D0668">
              <w:rPr>
                <w:bCs/>
                <w:szCs w:val="20"/>
              </w:rPr>
              <w:t xml:space="preserve"> allowance (as a supplement to other income)</w:t>
            </w:r>
          </w:p>
        </w:tc>
        <w:tc>
          <w:tcPr>
            <w:tcW w:w="5251" w:type="dxa"/>
            <w:gridSpan w:val="3"/>
            <w:vAlign w:val="center"/>
          </w:tcPr>
          <w:p w14:paraId="452CB5E0" w14:textId="77777777" w:rsidR="006D0668" w:rsidRPr="006D0668" w:rsidRDefault="006D0668" w:rsidP="006D0668">
            <w:pPr>
              <w:spacing w:after="0"/>
              <w:rPr>
                <w:bCs/>
                <w:szCs w:val="20"/>
              </w:rPr>
            </w:pPr>
          </w:p>
        </w:tc>
      </w:tr>
      <w:tr w:rsidR="006D0668" w14:paraId="3B5AB27C" w14:textId="77777777" w:rsidTr="00AF0E1D">
        <w:trPr>
          <w:trHeight w:val="200"/>
        </w:trPr>
        <w:tc>
          <w:tcPr>
            <w:tcW w:w="5098" w:type="dxa"/>
            <w:gridSpan w:val="2"/>
            <w:vAlign w:val="center"/>
          </w:tcPr>
          <w:p w14:paraId="23886914" w14:textId="38CBB79D" w:rsidR="006D0668" w:rsidRPr="006D0668" w:rsidRDefault="006D0668" w:rsidP="006D0668">
            <w:pPr>
              <w:spacing w:after="0"/>
              <w:rPr>
                <w:bCs/>
                <w:szCs w:val="20"/>
              </w:rPr>
            </w:pPr>
            <w:r>
              <w:rPr>
                <w:bCs/>
                <w:szCs w:val="20"/>
              </w:rPr>
              <w:t>p</w:t>
            </w:r>
            <w:r w:rsidRPr="006D0668">
              <w:rPr>
                <w:bCs/>
                <w:szCs w:val="20"/>
              </w:rPr>
              <w:t>ensions; including aged, disability and veteran affairs</w:t>
            </w:r>
          </w:p>
        </w:tc>
        <w:tc>
          <w:tcPr>
            <w:tcW w:w="5251" w:type="dxa"/>
            <w:gridSpan w:val="3"/>
            <w:vAlign w:val="center"/>
          </w:tcPr>
          <w:p w14:paraId="4333F56A" w14:textId="77777777" w:rsidR="006D0668" w:rsidRPr="006D0668" w:rsidRDefault="006D0668" w:rsidP="006D0668">
            <w:pPr>
              <w:spacing w:after="0"/>
              <w:rPr>
                <w:bCs/>
                <w:szCs w:val="20"/>
              </w:rPr>
            </w:pPr>
          </w:p>
        </w:tc>
      </w:tr>
      <w:tr w:rsidR="006D0668" w14:paraId="68335BD6" w14:textId="77777777" w:rsidTr="00AF0E1D">
        <w:trPr>
          <w:trHeight w:val="200"/>
        </w:trPr>
        <w:tc>
          <w:tcPr>
            <w:tcW w:w="5098" w:type="dxa"/>
            <w:gridSpan w:val="2"/>
            <w:vAlign w:val="center"/>
          </w:tcPr>
          <w:p w14:paraId="226A2E3C" w14:textId="28ED5ED8" w:rsidR="006D0668" w:rsidRPr="006D0668" w:rsidRDefault="006D0668" w:rsidP="006D0668">
            <w:pPr>
              <w:spacing w:after="0"/>
              <w:rPr>
                <w:bCs/>
                <w:szCs w:val="20"/>
              </w:rPr>
            </w:pPr>
            <w:r>
              <w:rPr>
                <w:bCs/>
                <w:szCs w:val="20"/>
              </w:rPr>
              <w:t>v</w:t>
            </w:r>
            <w:r w:rsidRPr="006D0668">
              <w:rPr>
                <w:bCs/>
                <w:szCs w:val="20"/>
              </w:rPr>
              <w:t>ehicle allowance</w:t>
            </w:r>
          </w:p>
        </w:tc>
        <w:tc>
          <w:tcPr>
            <w:tcW w:w="5251" w:type="dxa"/>
            <w:gridSpan w:val="3"/>
            <w:vAlign w:val="center"/>
          </w:tcPr>
          <w:p w14:paraId="5E7C78CE" w14:textId="77777777" w:rsidR="006D0668" w:rsidRPr="006D0668" w:rsidRDefault="006D0668" w:rsidP="006D0668">
            <w:pPr>
              <w:spacing w:after="0"/>
              <w:rPr>
                <w:bCs/>
                <w:szCs w:val="20"/>
              </w:rPr>
            </w:pPr>
          </w:p>
        </w:tc>
      </w:tr>
    </w:tbl>
    <w:p w14:paraId="6D45C548" w14:textId="41BF6598" w:rsidR="006D0668" w:rsidRDefault="00576665" w:rsidP="00A73123">
      <w:pPr>
        <w:spacing w:before="200"/>
      </w:pPr>
      <w:r>
        <w:lastRenderedPageBreak/>
        <w:t>Assets do not include personal belongings, household furniture, personal car or assets that can’t be realised such as preserved superannuation funds. Documentary evidence of assessable assets may be required.</w:t>
      </w:r>
    </w:p>
    <w:p w14:paraId="66A94FBC" w14:textId="155C6276" w:rsidR="00576665" w:rsidRDefault="00576665" w:rsidP="00A73123">
      <w:pPr>
        <w:spacing w:before="200"/>
        <w:rPr>
          <w:b/>
        </w:rPr>
      </w:pPr>
      <w:r>
        <w:rPr>
          <w:b/>
        </w:rPr>
        <w:t>Employment – Subsidised Interest Rate Loan</w:t>
      </w:r>
    </w:p>
    <w:p w14:paraId="46B08CFB" w14:textId="39D3941D" w:rsidR="00576665" w:rsidRDefault="00576665" w:rsidP="00A73123">
      <w:pPr>
        <w:spacing w:before="200"/>
      </w:pPr>
      <w:r>
        <w:t xml:space="preserve">The following are the minimum periods you need to have been in your current employment to be eligible to apply for a </w:t>
      </w:r>
      <w:r>
        <w:rPr>
          <w:b/>
        </w:rPr>
        <w:t>Subsidised Interest Rate Loan</w:t>
      </w:r>
      <w:r w:rsidRPr="00576665">
        <w:t>:</w:t>
      </w:r>
    </w:p>
    <w:p w14:paraId="04E5F7CE" w14:textId="6812D555" w:rsidR="00576665" w:rsidRPr="00576665" w:rsidRDefault="00576665" w:rsidP="00BA36C9">
      <w:pPr>
        <w:pStyle w:val="ListParagraph"/>
        <w:numPr>
          <w:ilvl w:val="0"/>
          <w:numId w:val="13"/>
        </w:numPr>
        <w:spacing w:before="200"/>
        <w:rPr>
          <w:rFonts w:eastAsia="Calibri"/>
          <w:b/>
        </w:rPr>
      </w:pPr>
      <w:r w:rsidRPr="00576665">
        <w:rPr>
          <w:rFonts w:eastAsia="Calibri"/>
          <w:b/>
        </w:rPr>
        <w:t>Permanent Full Time and Part Time employment</w:t>
      </w:r>
      <w:r>
        <w:rPr>
          <w:rFonts w:eastAsia="Calibri"/>
        </w:rPr>
        <w:t xml:space="preserve"> – 12 months in your current position.</w:t>
      </w:r>
    </w:p>
    <w:p w14:paraId="358F1098" w14:textId="57675078" w:rsidR="00576665" w:rsidRPr="00576665" w:rsidRDefault="00576665" w:rsidP="00BA36C9">
      <w:pPr>
        <w:pStyle w:val="ListParagraph"/>
        <w:numPr>
          <w:ilvl w:val="0"/>
          <w:numId w:val="13"/>
        </w:numPr>
        <w:spacing w:before="200"/>
        <w:rPr>
          <w:rFonts w:eastAsia="Calibri"/>
          <w:b/>
        </w:rPr>
      </w:pPr>
      <w:r w:rsidRPr="00576665">
        <w:rPr>
          <w:rFonts w:eastAsia="Calibri"/>
          <w:b/>
        </w:rPr>
        <w:t>Casual employment</w:t>
      </w:r>
      <w:r>
        <w:rPr>
          <w:rFonts w:eastAsia="Calibri"/>
        </w:rPr>
        <w:t xml:space="preserve"> – 12 months in your current position.</w:t>
      </w:r>
    </w:p>
    <w:p w14:paraId="3186FADD" w14:textId="246778A0" w:rsidR="00576665" w:rsidRPr="00576665" w:rsidRDefault="00576665" w:rsidP="00BA36C9">
      <w:pPr>
        <w:pStyle w:val="ListParagraph"/>
        <w:numPr>
          <w:ilvl w:val="0"/>
          <w:numId w:val="13"/>
        </w:numPr>
        <w:spacing w:before="200"/>
        <w:rPr>
          <w:rFonts w:eastAsia="Calibri"/>
          <w:b/>
        </w:rPr>
      </w:pPr>
      <w:r w:rsidRPr="00576665">
        <w:rPr>
          <w:rFonts w:eastAsia="Calibri"/>
          <w:b/>
        </w:rPr>
        <w:t>Contract employment</w:t>
      </w:r>
      <w:r>
        <w:rPr>
          <w:rFonts w:eastAsia="Calibri"/>
        </w:rPr>
        <w:t xml:space="preserve"> – 6 months in your current position and at least 6 months remaining under your current employment contract.</w:t>
      </w:r>
    </w:p>
    <w:p w14:paraId="5FEF4CC4" w14:textId="3256D0C2" w:rsidR="00576665" w:rsidRPr="00576665" w:rsidRDefault="00576665" w:rsidP="00BA36C9">
      <w:pPr>
        <w:pStyle w:val="ListParagraph"/>
        <w:numPr>
          <w:ilvl w:val="0"/>
          <w:numId w:val="13"/>
        </w:numPr>
        <w:spacing w:before="200"/>
        <w:rPr>
          <w:rFonts w:eastAsia="Calibri"/>
          <w:b/>
        </w:rPr>
      </w:pPr>
      <w:r>
        <w:rPr>
          <w:rFonts w:eastAsia="Calibri"/>
          <w:b/>
        </w:rPr>
        <w:t xml:space="preserve">Self-employed </w:t>
      </w:r>
      <w:r>
        <w:rPr>
          <w:rFonts w:eastAsia="Calibri"/>
        </w:rPr>
        <w:t>– minimum of 12 months trading history to allow for any seasonal fluctuations.</w:t>
      </w:r>
    </w:p>
    <w:p w14:paraId="47938130" w14:textId="7C6DF6D1" w:rsidR="00576665" w:rsidRDefault="00576665" w:rsidP="00576665">
      <w:pPr>
        <w:spacing w:before="200"/>
      </w:pPr>
      <w:r>
        <w:t xml:space="preserve">If your employment is outside of these requirements, your income will still be included to assess whether you meet the eligibility criteria for a </w:t>
      </w:r>
      <w:r>
        <w:rPr>
          <w:b/>
        </w:rPr>
        <w:t>Subsidised Interest Rate Loan</w:t>
      </w:r>
      <w:r>
        <w:t>, but will not be included when assessing how much you can afford to borrow.</w:t>
      </w:r>
    </w:p>
    <w:p w14:paraId="3EE248B9" w14:textId="425C648A" w:rsidR="00A1780A" w:rsidRPr="00673BED" w:rsidRDefault="00576665" w:rsidP="00A1780A">
      <w:pPr>
        <w:widowControl w:val="0"/>
        <w:spacing w:before="240"/>
        <w:ind w:right="-23"/>
        <w:outlineLvl w:val="0"/>
        <w:rPr>
          <w:rFonts w:ascii="Lato Semibold" w:eastAsia="Times New Roman" w:hAnsi="Lato Semibold"/>
          <w:bCs/>
          <w:color w:val="1F1F5F"/>
          <w:kern w:val="32"/>
          <w:sz w:val="36"/>
          <w:szCs w:val="32"/>
          <w:lang w:eastAsia="en-AU"/>
        </w:rPr>
      </w:pPr>
      <w:r>
        <w:rPr>
          <w:rFonts w:ascii="Lato Semibold" w:eastAsia="Times New Roman" w:hAnsi="Lato Semibold"/>
          <w:bCs/>
          <w:color w:val="1F1F5F"/>
          <w:kern w:val="32"/>
          <w:sz w:val="36"/>
          <w:szCs w:val="32"/>
          <w:lang w:eastAsia="en-AU"/>
        </w:rPr>
        <w:t xml:space="preserve">Interest rates – </w:t>
      </w:r>
      <w:proofErr w:type="spellStart"/>
      <w:r>
        <w:rPr>
          <w:rFonts w:ascii="Lato Semibold" w:eastAsia="Times New Roman" w:hAnsi="Lato Semibold"/>
          <w:bCs/>
          <w:color w:val="1F1F5F"/>
          <w:kern w:val="32"/>
          <w:sz w:val="36"/>
          <w:szCs w:val="32"/>
          <w:lang w:eastAsia="en-AU"/>
        </w:rPr>
        <w:t>HomeBuild</w:t>
      </w:r>
      <w:proofErr w:type="spellEnd"/>
      <w:r>
        <w:rPr>
          <w:rFonts w:ascii="Lato Semibold" w:eastAsia="Times New Roman" w:hAnsi="Lato Semibold"/>
          <w:bCs/>
          <w:color w:val="1F1F5F"/>
          <w:kern w:val="32"/>
          <w:sz w:val="36"/>
          <w:szCs w:val="32"/>
          <w:lang w:eastAsia="en-AU"/>
        </w:rPr>
        <w:t xml:space="preserve"> Access Loans</w:t>
      </w:r>
    </w:p>
    <w:p w14:paraId="527941B3" w14:textId="77777777" w:rsidR="00576665" w:rsidRDefault="00576665" w:rsidP="00A1780A">
      <w:pPr>
        <w:spacing w:before="200"/>
        <w:rPr>
          <w:b/>
        </w:rPr>
      </w:pPr>
      <w:r w:rsidRPr="00576665">
        <w:rPr>
          <w:bCs/>
        </w:rPr>
        <w:t>The interest rate</w:t>
      </w:r>
      <w:r>
        <w:t xml:space="preserve"> for </w:t>
      </w:r>
      <w:proofErr w:type="spellStart"/>
      <w:r>
        <w:t>HomeBuild</w:t>
      </w:r>
      <w:proofErr w:type="spellEnd"/>
      <w:r>
        <w:t xml:space="preserve"> Access loans is based on a </w:t>
      </w:r>
      <w:r>
        <w:rPr>
          <w:b/>
        </w:rPr>
        <w:t>reference rate.</w:t>
      </w:r>
    </w:p>
    <w:p w14:paraId="7EE61DFC" w14:textId="77777777" w:rsidR="00576665" w:rsidRDefault="00576665" w:rsidP="00A1780A">
      <w:pPr>
        <w:spacing w:before="200"/>
      </w:pPr>
      <w:r>
        <w:t xml:space="preserve">The </w:t>
      </w:r>
      <w:r>
        <w:rPr>
          <w:b/>
        </w:rPr>
        <w:t>reference rate</w:t>
      </w:r>
      <w:r w:rsidRPr="00673BED">
        <w:t xml:space="preserve"> </w:t>
      </w:r>
      <w:r>
        <w:t>for the</w:t>
      </w:r>
      <w:r w:rsidRPr="00576665">
        <w:rPr>
          <w:b/>
        </w:rPr>
        <w:t xml:space="preserve"> </w:t>
      </w:r>
      <w:r>
        <w:rPr>
          <w:b/>
        </w:rPr>
        <w:t xml:space="preserve">Subsidised Interest Rate Loan </w:t>
      </w:r>
      <w:r>
        <w:t>is the Commonwealth Bank of Australia Standard Variable Rate for home loans.</w:t>
      </w:r>
    </w:p>
    <w:p w14:paraId="25C9B47D" w14:textId="696A96C8" w:rsidR="00A1780A" w:rsidRDefault="00576665" w:rsidP="00A1780A">
      <w:pPr>
        <w:spacing w:before="200"/>
      </w:pPr>
      <w:r>
        <w:t xml:space="preserve">The </w:t>
      </w:r>
      <w:r w:rsidR="00AF0E1D">
        <w:rPr>
          <w:b/>
        </w:rPr>
        <w:t xml:space="preserve">Subsidised Interest Rate Loan </w:t>
      </w:r>
      <w:r w:rsidRPr="00576665">
        <w:t>offers a subsidised</w:t>
      </w:r>
      <w:r>
        <w:rPr>
          <w:b/>
        </w:rPr>
        <w:t xml:space="preserve"> </w:t>
      </w:r>
      <w:r w:rsidRPr="00576665">
        <w:t>offers a</w:t>
      </w:r>
      <w:r>
        <w:rPr>
          <w:b/>
        </w:rPr>
        <w:t xml:space="preserve"> </w:t>
      </w:r>
      <w:r>
        <w:t xml:space="preserve">subsidised interest rate for the first 5 years of the loan term. At the end of the period, the loan will be converted to the </w:t>
      </w:r>
      <w:r w:rsidR="00AF0E1D">
        <w:t xml:space="preserve">full </w:t>
      </w:r>
      <w:r w:rsidR="00AF0E1D" w:rsidRPr="007E1D9A">
        <w:rPr>
          <w:b/>
        </w:rPr>
        <w:t>reference</w:t>
      </w:r>
      <w:r>
        <w:rPr>
          <w:b/>
        </w:rPr>
        <w:t xml:space="preserve"> rate.</w:t>
      </w:r>
      <w:r w:rsidRPr="00673BED">
        <w:t xml:space="preserve"> </w:t>
      </w:r>
    </w:p>
    <w:p w14:paraId="6D949703" w14:textId="71F0CCAE" w:rsidR="00576665" w:rsidRDefault="00576665" w:rsidP="00A1780A">
      <w:pPr>
        <w:spacing w:before="200"/>
      </w:pPr>
      <w:r>
        <w:t xml:space="preserve">The </w:t>
      </w:r>
      <w:r>
        <w:rPr>
          <w:b/>
        </w:rPr>
        <w:t>reference rate</w:t>
      </w:r>
      <w:r w:rsidRPr="00673BED">
        <w:t xml:space="preserve"> </w:t>
      </w:r>
      <w:r>
        <w:t xml:space="preserve">for the </w:t>
      </w:r>
      <w:r>
        <w:rPr>
          <w:b/>
        </w:rPr>
        <w:t>Low Deposit Loan</w:t>
      </w:r>
      <w:r>
        <w:t xml:space="preserve"> and </w:t>
      </w:r>
      <w:r>
        <w:rPr>
          <w:b/>
        </w:rPr>
        <w:t xml:space="preserve">Off the Plan Deposit Loan </w:t>
      </w:r>
      <w:r>
        <w:t>is the People’s Choice Standard Variable Rate for all home loans.</w:t>
      </w:r>
    </w:p>
    <w:p w14:paraId="3DE92287" w14:textId="5288C0D7" w:rsidR="00576665" w:rsidRPr="00576665" w:rsidRDefault="00576665" w:rsidP="00A1780A">
      <w:pPr>
        <w:spacing w:before="200"/>
        <w:rPr>
          <w:b/>
          <w:bCs/>
        </w:rPr>
      </w:pPr>
      <w:r>
        <w:t xml:space="preserve">For the latest interest rates for all </w:t>
      </w:r>
      <w:proofErr w:type="spellStart"/>
      <w:r>
        <w:t>HomeBuild</w:t>
      </w:r>
      <w:proofErr w:type="spellEnd"/>
      <w:r>
        <w:t xml:space="preserve"> Access loan products, check the </w:t>
      </w:r>
      <w:proofErr w:type="spellStart"/>
      <w:r>
        <w:t>HomeBuild</w:t>
      </w:r>
      <w:proofErr w:type="spellEnd"/>
      <w:r>
        <w:t xml:space="preserve"> Access </w:t>
      </w:r>
      <w:r>
        <w:rPr>
          <w:b/>
        </w:rPr>
        <w:t>Comparison Rate Sheet.</w:t>
      </w:r>
    </w:p>
    <w:p w14:paraId="68E84DE4" w14:textId="40FA871C" w:rsidR="00A1780A" w:rsidRPr="00AF0E1D" w:rsidRDefault="00A1780A" w:rsidP="00576665">
      <w:pPr>
        <w:spacing w:after="0"/>
        <w:rPr>
          <w:bCs/>
        </w:rPr>
      </w:pPr>
      <w:r w:rsidRPr="00673BED">
        <w:t xml:space="preserve">If you </w:t>
      </w:r>
      <w:r w:rsidR="00576665">
        <w:t xml:space="preserve">move out of the property as your principal place </w:t>
      </w:r>
      <w:r w:rsidR="00AF0E1D">
        <w:t xml:space="preserve">of residence, a non-occupancy interest rate will be applied to your home loan and in the case of the </w:t>
      </w:r>
      <w:r w:rsidR="00AF0E1D">
        <w:rPr>
          <w:b/>
        </w:rPr>
        <w:t>Subsidised Interest Rate Loan</w:t>
      </w:r>
      <w:r w:rsidR="00AF0E1D" w:rsidRPr="00AF0E1D">
        <w:t>, you</w:t>
      </w:r>
      <w:r w:rsidR="00AF0E1D">
        <w:t xml:space="preserve"> will also lost your interest subsidy. Please refer to the </w:t>
      </w:r>
      <w:r w:rsidR="00AF0E1D">
        <w:rPr>
          <w:b/>
        </w:rPr>
        <w:t xml:space="preserve">Occupancy Requirements </w:t>
      </w:r>
      <w:r w:rsidR="00AF0E1D">
        <w:t>fact sheet for more information.</w:t>
      </w:r>
    </w:p>
    <w:p w14:paraId="6A623D00" w14:textId="5DE5DD5E" w:rsidR="00A1780A" w:rsidRPr="00673BED" w:rsidRDefault="00AF0E1D" w:rsidP="00A1780A">
      <w:pPr>
        <w:widowControl w:val="0"/>
        <w:spacing w:before="240"/>
        <w:ind w:right="-23"/>
        <w:outlineLvl w:val="0"/>
        <w:rPr>
          <w:rFonts w:ascii="Lato Semibold" w:eastAsia="Times New Roman" w:hAnsi="Lato Semibold"/>
          <w:bCs/>
          <w:color w:val="1F1F5F"/>
          <w:kern w:val="32"/>
          <w:sz w:val="36"/>
          <w:szCs w:val="32"/>
          <w:lang w:eastAsia="en-AU"/>
        </w:rPr>
      </w:pPr>
      <w:r>
        <w:rPr>
          <w:rFonts w:ascii="Lato Semibold" w:eastAsia="Times New Roman" w:hAnsi="Lato Semibold"/>
          <w:bCs/>
          <w:color w:val="1F1F5F"/>
          <w:kern w:val="32"/>
          <w:sz w:val="36"/>
          <w:szCs w:val="32"/>
          <w:lang w:eastAsia="en-AU"/>
        </w:rPr>
        <w:t>How to apply</w:t>
      </w:r>
    </w:p>
    <w:p w14:paraId="3397E6C8" w14:textId="77777777" w:rsidR="00AF0E1D" w:rsidRDefault="00AF0E1D" w:rsidP="00A1780A">
      <w:pPr>
        <w:spacing w:after="0"/>
      </w:pPr>
      <w:r>
        <w:t xml:space="preserve">People’s Choice accepts, assesses and manages </w:t>
      </w:r>
      <w:proofErr w:type="spellStart"/>
      <w:r>
        <w:t>HomeBuild</w:t>
      </w:r>
      <w:proofErr w:type="spellEnd"/>
      <w:r>
        <w:t xml:space="preserve"> Access loans on behalf of the Northern Territory Government.</w:t>
      </w:r>
    </w:p>
    <w:p w14:paraId="1DE67FC5" w14:textId="77777777" w:rsidR="00AF0E1D" w:rsidRDefault="00AF0E1D" w:rsidP="00A1780A">
      <w:pPr>
        <w:spacing w:after="0"/>
      </w:pPr>
    </w:p>
    <w:p w14:paraId="6BB3DBAF" w14:textId="5DCEAD2B" w:rsidR="00A1780A" w:rsidRPr="00673BED" w:rsidRDefault="00AF0E1D" w:rsidP="00AF0E1D">
      <w:pPr>
        <w:spacing w:after="0"/>
        <w:rPr>
          <w:rFonts w:ascii="Lato Semibold" w:eastAsia="Times New Roman" w:hAnsi="Lato Semibold"/>
          <w:bCs/>
          <w:color w:val="1F1F5F"/>
          <w:kern w:val="32"/>
          <w:sz w:val="36"/>
          <w:szCs w:val="32"/>
          <w:lang w:eastAsia="en-AU"/>
        </w:rPr>
      </w:pPr>
      <w:r>
        <w:t>For more information you can call 8943 33</w:t>
      </w:r>
      <w:r w:rsidR="002B6987">
        <w:t>09</w:t>
      </w:r>
      <w:r>
        <w:t xml:space="preserve"> and you will be referred to a specialist within People’s Choice who will assist with your enquiry.</w:t>
      </w:r>
    </w:p>
    <w:p w14:paraId="470503AD" w14:textId="5C239277" w:rsidR="00A1780A" w:rsidRDefault="00A1780A" w:rsidP="00A1780A">
      <w:pPr>
        <w:spacing w:after="0"/>
      </w:pPr>
    </w:p>
    <w:p w14:paraId="5BB6C043" w14:textId="3CE83312" w:rsidR="00AF0E1D" w:rsidRPr="00AF0E1D" w:rsidRDefault="00AF0E1D" w:rsidP="00A1780A">
      <w:pPr>
        <w:spacing w:after="0"/>
        <w:rPr>
          <w:sz w:val="14"/>
        </w:rPr>
      </w:pPr>
      <w:r w:rsidRPr="00AF0E1D">
        <w:rPr>
          <w:sz w:val="14"/>
        </w:rPr>
        <w:t xml:space="preserve">Disclaimer: Whilst the Chief Executive Officer (Housing) has made every effort to ensure the accuracy of information in this fact sheet, no warranty is given that the information in this document is free from errors or omissions and that it is suitable for your circumstances. The information in this document is subject to change without notice to you and has been prepared without taking into account your particular financial situation, requirements and objectives or needs. You should seek independent legal and financial advice before considering whether to act or rely upon the information in this document. </w:t>
      </w:r>
    </w:p>
    <w:p w14:paraId="32FC1088" w14:textId="2CEAE969" w:rsidR="00AF0E1D" w:rsidRPr="00AF0E1D" w:rsidRDefault="00AF0E1D" w:rsidP="00A1780A">
      <w:pPr>
        <w:spacing w:after="0"/>
        <w:rPr>
          <w:sz w:val="14"/>
        </w:rPr>
      </w:pPr>
    </w:p>
    <w:p w14:paraId="4B093729" w14:textId="5CD63BB0" w:rsidR="00AF0E1D" w:rsidRPr="00AF0E1D" w:rsidRDefault="00AF0E1D" w:rsidP="00A1780A">
      <w:pPr>
        <w:spacing w:after="0"/>
        <w:rPr>
          <w:bCs/>
          <w:sz w:val="14"/>
        </w:rPr>
      </w:pPr>
      <w:r w:rsidRPr="00AF0E1D">
        <w:rPr>
          <w:sz w:val="14"/>
        </w:rPr>
        <w:t>People’s Choice</w:t>
      </w:r>
      <w:r w:rsidR="002B6987">
        <w:rPr>
          <w:sz w:val="14"/>
        </w:rPr>
        <w:t xml:space="preserve"> Credit Union (People’s Choice)</w:t>
      </w:r>
      <w:r w:rsidRPr="00AF0E1D">
        <w:rPr>
          <w:sz w:val="14"/>
        </w:rPr>
        <w:t xml:space="preserve">, a trading name of </w:t>
      </w:r>
      <w:r w:rsidR="008446A9">
        <w:rPr>
          <w:sz w:val="14"/>
        </w:rPr>
        <w:t>Heritage and People’s Choice</w:t>
      </w:r>
      <w:r w:rsidRPr="00AF0E1D">
        <w:rPr>
          <w:sz w:val="14"/>
        </w:rPr>
        <w:t xml:space="preserve"> Limited ABN 11 87 065 125 (“People’s Choice”) acts under its own Australian Financial Services Licence (AFSL</w:t>
      </w:r>
      <w:r>
        <w:rPr>
          <w:sz w:val="14"/>
        </w:rPr>
        <w:t> </w:t>
      </w:r>
      <w:r w:rsidRPr="00AF0E1D">
        <w:rPr>
          <w:sz w:val="14"/>
        </w:rPr>
        <w:t>244310) and Australian Credit Licence (ACL 244310). People’s Choice acts as agent for Chief Executive Officer (Housing) under a Mortgage Management Contract.</w:t>
      </w:r>
    </w:p>
    <w:sectPr w:rsidR="00AF0E1D" w:rsidRPr="00AF0E1D" w:rsidSect="00CC571B">
      <w:headerReference w:type="even" r:id="rId12"/>
      <w:headerReference w:type="default" r:id="rId13"/>
      <w:footerReference w:type="even" r:id="rId14"/>
      <w:footerReference w:type="default" r:id="rId15"/>
      <w:headerReference w:type="first" r:id="rId16"/>
      <w:footerReference w:type="first" r:id="rId17"/>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1D1B3" w14:textId="77777777" w:rsidR="00D01D16" w:rsidRDefault="00D01D16" w:rsidP="007332FF">
      <w:r>
        <w:separator/>
      </w:r>
    </w:p>
  </w:endnote>
  <w:endnote w:type="continuationSeparator" w:id="0">
    <w:p w14:paraId="612F97AB" w14:textId="77777777" w:rsidR="00D01D16" w:rsidRDefault="00D01D1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2753" w14:textId="77777777" w:rsidR="008446A9" w:rsidRDefault="008446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5A6DE" w14:textId="77777777" w:rsidR="00996655" w:rsidRDefault="00996655" w:rsidP="0099665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96655" w:rsidRPr="00132658" w14:paraId="7089C40E" w14:textId="77777777" w:rsidTr="001D258A">
      <w:trPr>
        <w:cantSplit/>
        <w:trHeight w:hRule="exact" w:val="567"/>
      </w:trPr>
      <w:tc>
        <w:tcPr>
          <w:tcW w:w="10318" w:type="dxa"/>
          <w:vAlign w:val="bottom"/>
        </w:tcPr>
        <w:p w14:paraId="47AF6020" w14:textId="19A29B11" w:rsidR="00996655" w:rsidRPr="00750D2F" w:rsidRDefault="00996655" w:rsidP="00996655">
          <w:pPr>
            <w:spacing w:after="0"/>
            <w:rPr>
              <w:rStyle w:val="PageNumber"/>
            </w:rPr>
          </w:pPr>
          <w:r w:rsidRPr="00750D2F">
            <w:rPr>
              <w:rStyle w:val="PageNumber"/>
            </w:rPr>
            <w:t xml:space="preserve">Department of </w:t>
          </w:r>
          <w:sdt>
            <w:sdtPr>
              <w:rPr>
                <w:rStyle w:val="PageNumber"/>
                <w:b/>
              </w:rPr>
              <w:alias w:val="Company"/>
              <w:tag w:val=""/>
              <w:id w:val="310921806"/>
              <w:placeholder>
                <w:docPart w:val="32E5E2965F1E4BFCBD0167C153D16F10"/>
              </w:placeholder>
              <w:dataBinding w:prefixMappings="xmlns:ns0='http://schemas.openxmlformats.org/officeDocument/2006/extended-properties' " w:xpath="/ns0:Properties[1]/ns0:Company[1]" w:storeItemID="{6668398D-A668-4E3E-A5EB-62B293D839F1}"/>
              <w15:color w:val="000000"/>
              <w:text w:multiLine="1"/>
            </w:sdtPr>
            <w:sdtEndPr>
              <w:rPr>
                <w:rStyle w:val="PageNumber"/>
              </w:rPr>
            </w:sdtEndPr>
            <w:sdtContent>
              <w:r w:rsidR="00C24144">
                <w:rPr>
                  <w:rStyle w:val="PageNumber"/>
                  <w:b/>
                </w:rPr>
                <w:t>TERRITORY FAMILIES, HOUSING AND COMMUNITIES</w:t>
              </w:r>
            </w:sdtContent>
          </w:sdt>
        </w:p>
        <w:p w14:paraId="2E077E6C" w14:textId="7CD934FC" w:rsidR="00996655" w:rsidRPr="00AC4488" w:rsidRDefault="00996655" w:rsidP="0099665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E3C1D">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E3C1D">
            <w:rPr>
              <w:rStyle w:val="PageNumber"/>
              <w:noProof/>
            </w:rPr>
            <w:t>4</w:t>
          </w:r>
          <w:r w:rsidRPr="00AC4488">
            <w:rPr>
              <w:rStyle w:val="PageNumber"/>
            </w:rPr>
            <w:fldChar w:fldCharType="end"/>
          </w:r>
        </w:p>
      </w:tc>
    </w:tr>
  </w:tbl>
  <w:p w14:paraId="70335095" w14:textId="77777777" w:rsidR="00CA36A0" w:rsidRPr="00996655" w:rsidRDefault="00CA36A0" w:rsidP="00996655">
    <w:pPr>
      <w:pStyle w:val="Hidden"/>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9CC50" w14:textId="77777777" w:rsidR="00D15D88" w:rsidRDefault="00D15D88" w:rsidP="00C0326E">
    <w:pPr>
      <w:spacing w:after="0"/>
    </w:pPr>
  </w:p>
  <w:p w14:paraId="25AFEBDC" w14:textId="77777777" w:rsidR="00996655" w:rsidRDefault="00996655" w:rsidP="00996655">
    <w:pPr>
      <w:pStyle w:val="Hidden"/>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0326E" w:rsidRPr="00132658" w14:paraId="3905799A" w14:textId="77777777" w:rsidTr="008921B4">
      <w:trPr>
        <w:cantSplit/>
        <w:trHeight w:hRule="exact" w:val="1134"/>
      </w:trPr>
      <w:tc>
        <w:tcPr>
          <w:tcW w:w="7767" w:type="dxa"/>
          <w:vAlign w:val="bottom"/>
        </w:tcPr>
        <w:p w14:paraId="143FC6E2" w14:textId="4470D138" w:rsidR="00C24144" w:rsidRDefault="00D01D16" w:rsidP="00C24144">
          <w:pPr>
            <w:spacing w:after="0"/>
            <w:rPr>
              <w:rStyle w:val="PageNumber"/>
            </w:rPr>
          </w:pPr>
          <w:sdt>
            <w:sdtPr>
              <w:rPr>
                <w:rStyle w:val="PageNumber"/>
                <w:b/>
              </w:rPr>
              <w:alias w:val="Company"/>
              <w:tag w:val=""/>
              <w:id w:val="-852797910"/>
              <w:placeholder>
                <w:docPart w:val="999CE74C4B554D3690808C26653889B5"/>
              </w:placeholder>
              <w:dataBinding w:prefixMappings="xmlns:ns0='http://schemas.openxmlformats.org/officeDocument/2006/extended-properties' " w:xpath="/ns0:Properties[1]/ns0:Company[1]" w:storeItemID="{6668398D-A668-4E3E-A5EB-62B293D839F1}"/>
              <w15:color w:val="000000"/>
              <w:text w:multiLine="1"/>
            </w:sdtPr>
            <w:sdtEndPr>
              <w:rPr>
                <w:rStyle w:val="PageNumber"/>
              </w:rPr>
            </w:sdtEndPr>
            <w:sdtContent>
              <w:r w:rsidR="00C24144">
                <w:rPr>
                  <w:rStyle w:val="PageNumber"/>
                  <w:b/>
                </w:rPr>
                <w:t>TERRITORY FAMILIES, HOUSING AND COMMUNITIES</w:t>
              </w:r>
            </w:sdtContent>
          </w:sdt>
          <w:r w:rsidR="00C24144" w:rsidRPr="00750D2F">
            <w:rPr>
              <w:rStyle w:val="PageNumber"/>
            </w:rPr>
            <w:t xml:space="preserve"> </w:t>
          </w:r>
        </w:p>
        <w:p w14:paraId="12CCED87" w14:textId="22D3CB6A" w:rsidR="00C0326E" w:rsidRPr="00C24144" w:rsidRDefault="00C24144" w:rsidP="00C0326E">
          <w:pPr>
            <w:spacing w:after="0"/>
            <w:rPr>
              <w:rStyle w:val="PageNumber"/>
              <w:b/>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E3C1D">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E3C1D">
            <w:rPr>
              <w:rStyle w:val="PageNumber"/>
              <w:noProof/>
            </w:rPr>
            <w:t>4</w:t>
          </w:r>
          <w:r w:rsidRPr="00AC4488">
            <w:rPr>
              <w:rStyle w:val="PageNumber"/>
            </w:rPr>
            <w:fldChar w:fldCharType="end"/>
          </w:r>
          <w:r w:rsidR="00C0326E">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14:paraId="5AC0FF0D" w14:textId="77777777" w:rsidR="00C0326E" w:rsidRPr="001E14EB" w:rsidRDefault="00C0326E" w:rsidP="00C0326E">
          <w:pPr>
            <w:spacing w:after="0"/>
            <w:jc w:val="right"/>
          </w:pPr>
          <w:r>
            <w:rPr>
              <w:noProof/>
              <w:lang w:eastAsia="en-AU"/>
            </w:rPr>
            <w:drawing>
              <wp:inline distT="0" distB="0" distL="0" distR="0" wp14:anchorId="66058055" wp14:editId="7C1937C2">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2216E7A8" w14:textId="77777777" w:rsidR="00EF7362" w:rsidRPr="00661BE1" w:rsidRDefault="00EF7362"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62090" w14:textId="77777777" w:rsidR="00D01D16" w:rsidRDefault="00D01D16" w:rsidP="007332FF">
      <w:r>
        <w:separator/>
      </w:r>
    </w:p>
  </w:footnote>
  <w:footnote w:type="continuationSeparator" w:id="0">
    <w:p w14:paraId="37F65702" w14:textId="77777777" w:rsidR="00D01D16" w:rsidRDefault="00D01D16"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2A168" w14:textId="77777777" w:rsidR="008446A9" w:rsidRDefault="00844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00891" w14:textId="4AE98F1A" w:rsidR="00983000" w:rsidRPr="00162207" w:rsidRDefault="00D01D16" w:rsidP="00996655">
    <w:pPr>
      <w:pStyle w:val="Header"/>
      <w:tabs>
        <w:tab w:val="clear" w:pos="9638"/>
        <w:tab w:val="right" w:pos="10318"/>
      </w:tabs>
      <w:jc w:val="right"/>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sdtContent>
        <w:r w:rsidR="00C414A9">
          <w:t xml:space="preserve">Is </w:t>
        </w:r>
        <w:proofErr w:type="spellStart"/>
        <w:r w:rsidR="00C414A9">
          <w:t>HomeBuild</w:t>
        </w:r>
        <w:proofErr w:type="spellEnd"/>
        <w:r w:rsidR="00C414A9">
          <w:t xml:space="preserve"> Access for you?</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EF11C" w14:textId="6313713D" w:rsidR="00E908F1" w:rsidRPr="000E3ED2" w:rsidRDefault="004F0CF6" w:rsidP="00EB164C">
    <w:pPr>
      <w:pStyle w:val="Subtitle0"/>
    </w:pPr>
    <w:r>
      <w:rPr>
        <w:noProof/>
        <w:lang w:eastAsia="en-AU"/>
      </w:rPr>
      <w:drawing>
        <wp:anchor distT="0" distB="0" distL="114300" distR="114300" simplePos="0" relativeHeight="251659264" behindDoc="1" locked="1" layoutInCell="1" allowOverlap="1" wp14:anchorId="7BEC2CDD" wp14:editId="6FF6361C">
          <wp:simplePos x="0" y="0"/>
          <wp:positionH relativeFrom="margin">
            <wp:posOffset>-132080</wp:posOffset>
          </wp:positionH>
          <wp:positionV relativeFrom="page">
            <wp:posOffset>107950</wp:posOffset>
          </wp:positionV>
          <wp:extent cx="7019925" cy="1781810"/>
          <wp:effectExtent l="0" t="0" r="9525" b="889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A_Banner.png"/>
                  <pic:cNvPicPr/>
                </pic:nvPicPr>
                <pic:blipFill rotWithShape="1">
                  <a:blip r:embed="rId1" cstate="print">
                    <a:extLst>
                      <a:ext uri="{28A0092B-C50C-407E-A947-70E740481C1C}">
                        <a14:useLocalDpi xmlns:a14="http://schemas.microsoft.com/office/drawing/2010/main" val="0"/>
                      </a:ext>
                    </a:extLst>
                  </a:blip>
                  <a:srcRect t="14618" b="4987"/>
                  <a:stretch/>
                </pic:blipFill>
                <pic:spPr bwMode="auto">
                  <a:xfrm>
                    <a:off x="0" y="0"/>
                    <a:ext cx="7019925" cy="1781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015568B"/>
    <w:multiLevelType w:val="hybridMultilevel"/>
    <w:tmpl w:val="B60699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024747A"/>
    <w:multiLevelType w:val="hybridMultilevel"/>
    <w:tmpl w:val="6B0AFC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3E57B97"/>
    <w:multiLevelType w:val="hybridMultilevel"/>
    <w:tmpl w:val="437A25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94C1015"/>
    <w:multiLevelType w:val="hybridMultilevel"/>
    <w:tmpl w:val="3B4E78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AD93631"/>
    <w:multiLevelType w:val="hybridMultilevel"/>
    <w:tmpl w:val="85DCE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1"/>
  </w:num>
  <w:num w:numId="3">
    <w:abstractNumId w:val="37"/>
  </w:num>
  <w:num w:numId="4">
    <w:abstractNumId w:val="25"/>
  </w:num>
  <w:num w:numId="5">
    <w:abstractNumId w:val="15"/>
  </w:num>
  <w:num w:numId="6">
    <w:abstractNumId w:val="7"/>
  </w:num>
  <w:num w:numId="7">
    <w:abstractNumId w:val="27"/>
  </w:num>
  <w:num w:numId="8">
    <w:abstractNumId w:val="14"/>
  </w:num>
  <w:num w:numId="9">
    <w:abstractNumId w:val="22"/>
  </w:num>
  <w:num w:numId="10">
    <w:abstractNumId w:val="23"/>
  </w:num>
  <w:num w:numId="11">
    <w:abstractNumId w:val="38"/>
  </w:num>
  <w:num w:numId="12">
    <w:abstractNumId w:val="31"/>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trackRevisions/>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7D"/>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465F"/>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4404"/>
    <w:rsid w:val="001152F5"/>
    <w:rsid w:val="00117743"/>
    <w:rsid w:val="00117F5B"/>
    <w:rsid w:val="00127715"/>
    <w:rsid w:val="00132658"/>
    <w:rsid w:val="00150DC0"/>
    <w:rsid w:val="00156CD4"/>
    <w:rsid w:val="0016153B"/>
    <w:rsid w:val="00162207"/>
    <w:rsid w:val="00164A3E"/>
    <w:rsid w:val="00166FF6"/>
    <w:rsid w:val="0017606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4F50"/>
    <w:rsid w:val="002B5591"/>
    <w:rsid w:val="002B6987"/>
    <w:rsid w:val="002B6AA4"/>
    <w:rsid w:val="002B70E7"/>
    <w:rsid w:val="002C1FE9"/>
    <w:rsid w:val="002D3A57"/>
    <w:rsid w:val="002D7D05"/>
    <w:rsid w:val="002E20C8"/>
    <w:rsid w:val="002E4290"/>
    <w:rsid w:val="002E66A6"/>
    <w:rsid w:val="002F0DB1"/>
    <w:rsid w:val="002F2885"/>
    <w:rsid w:val="002F45A1"/>
    <w:rsid w:val="002F525F"/>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43B6E"/>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3ACC"/>
    <w:rsid w:val="004C6C39"/>
    <w:rsid w:val="004D075F"/>
    <w:rsid w:val="004D1B76"/>
    <w:rsid w:val="004D344E"/>
    <w:rsid w:val="004E019E"/>
    <w:rsid w:val="004E06EC"/>
    <w:rsid w:val="004E0A3F"/>
    <w:rsid w:val="004E2CB7"/>
    <w:rsid w:val="004F016A"/>
    <w:rsid w:val="004F0CF6"/>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76665"/>
    <w:rsid w:val="00582D3D"/>
    <w:rsid w:val="00590040"/>
    <w:rsid w:val="00592E78"/>
    <w:rsid w:val="00595386"/>
    <w:rsid w:val="00597234"/>
    <w:rsid w:val="005A4AC0"/>
    <w:rsid w:val="005A5FDF"/>
    <w:rsid w:val="005B0FB7"/>
    <w:rsid w:val="005B122A"/>
    <w:rsid w:val="005B1FCB"/>
    <w:rsid w:val="005B5AC2"/>
    <w:rsid w:val="005C2833"/>
    <w:rsid w:val="005E144D"/>
    <w:rsid w:val="005E1500"/>
    <w:rsid w:val="005E3A43"/>
    <w:rsid w:val="005E3FC4"/>
    <w:rsid w:val="005F0B17"/>
    <w:rsid w:val="005F77C7"/>
    <w:rsid w:val="00620675"/>
    <w:rsid w:val="00622910"/>
    <w:rsid w:val="006254B6"/>
    <w:rsid w:val="00627FC8"/>
    <w:rsid w:val="006433C3"/>
    <w:rsid w:val="00650F5B"/>
    <w:rsid w:val="006670D7"/>
    <w:rsid w:val="006719EA"/>
    <w:rsid w:val="00671F13"/>
    <w:rsid w:val="0067400A"/>
    <w:rsid w:val="006847AD"/>
    <w:rsid w:val="0069114B"/>
    <w:rsid w:val="00693D6B"/>
    <w:rsid w:val="006944C1"/>
    <w:rsid w:val="006A2F2D"/>
    <w:rsid w:val="006A756A"/>
    <w:rsid w:val="006D0668"/>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0D2F"/>
    <w:rsid w:val="0075203F"/>
    <w:rsid w:val="00755248"/>
    <w:rsid w:val="0076190B"/>
    <w:rsid w:val="00763448"/>
    <w:rsid w:val="0076355D"/>
    <w:rsid w:val="00763A2D"/>
    <w:rsid w:val="007670BC"/>
    <w:rsid w:val="007676A4"/>
    <w:rsid w:val="00777795"/>
    <w:rsid w:val="0078287D"/>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128D"/>
    <w:rsid w:val="007E1D9A"/>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37842"/>
    <w:rsid w:val="00842838"/>
    <w:rsid w:val="008446A9"/>
    <w:rsid w:val="00851E70"/>
    <w:rsid w:val="00854EC1"/>
    <w:rsid w:val="0085797F"/>
    <w:rsid w:val="00861DC3"/>
    <w:rsid w:val="00867019"/>
    <w:rsid w:val="00872EF1"/>
    <w:rsid w:val="008735A9"/>
    <w:rsid w:val="00877BC5"/>
    <w:rsid w:val="00877D20"/>
    <w:rsid w:val="00881C48"/>
    <w:rsid w:val="00885B80"/>
    <w:rsid w:val="00885C30"/>
    <w:rsid w:val="00885E9B"/>
    <w:rsid w:val="00893C96"/>
    <w:rsid w:val="0089500A"/>
    <w:rsid w:val="00897C94"/>
    <w:rsid w:val="008A7C12"/>
    <w:rsid w:val="008B03CE"/>
    <w:rsid w:val="008B529E"/>
    <w:rsid w:val="008C0D34"/>
    <w:rsid w:val="008C17FB"/>
    <w:rsid w:val="008C70BB"/>
    <w:rsid w:val="008D1B00"/>
    <w:rsid w:val="008D278B"/>
    <w:rsid w:val="008D57B8"/>
    <w:rsid w:val="008E03FC"/>
    <w:rsid w:val="008E510B"/>
    <w:rsid w:val="008F422B"/>
    <w:rsid w:val="00901430"/>
    <w:rsid w:val="00902B13"/>
    <w:rsid w:val="00911941"/>
    <w:rsid w:val="0092024D"/>
    <w:rsid w:val="00920495"/>
    <w:rsid w:val="00925146"/>
    <w:rsid w:val="00925F0F"/>
    <w:rsid w:val="00932F6B"/>
    <w:rsid w:val="009468BC"/>
    <w:rsid w:val="00947FAE"/>
    <w:rsid w:val="00953762"/>
    <w:rsid w:val="009616DF"/>
    <w:rsid w:val="00963E4F"/>
    <w:rsid w:val="0096542F"/>
    <w:rsid w:val="00967FA7"/>
    <w:rsid w:val="00971645"/>
    <w:rsid w:val="00977919"/>
    <w:rsid w:val="00983000"/>
    <w:rsid w:val="009870FA"/>
    <w:rsid w:val="009921C3"/>
    <w:rsid w:val="0099551D"/>
    <w:rsid w:val="00996655"/>
    <w:rsid w:val="009A5897"/>
    <w:rsid w:val="009A5F24"/>
    <w:rsid w:val="009B0B3E"/>
    <w:rsid w:val="009B1913"/>
    <w:rsid w:val="009B6657"/>
    <w:rsid w:val="009B6966"/>
    <w:rsid w:val="009D0EB5"/>
    <w:rsid w:val="009D14F9"/>
    <w:rsid w:val="009D2B74"/>
    <w:rsid w:val="009D63FF"/>
    <w:rsid w:val="009E175D"/>
    <w:rsid w:val="009E3CC2"/>
    <w:rsid w:val="009E5867"/>
    <w:rsid w:val="009F06BD"/>
    <w:rsid w:val="009F2A4D"/>
    <w:rsid w:val="00A00828"/>
    <w:rsid w:val="00A03290"/>
    <w:rsid w:val="00A0387E"/>
    <w:rsid w:val="00A05BFD"/>
    <w:rsid w:val="00A07490"/>
    <w:rsid w:val="00A10655"/>
    <w:rsid w:val="00A12B64"/>
    <w:rsid w:val="00A1780A"/>
    <w:rsid w:val="00A22C38"/>
    <w:rsid w:val="00A25193"/>
    <w:rsid w:val="00A26E80"/>
    <w:rsid w:val="00A31AE8"/>
    <w:rsid w:val="00A3739D"/>
    <w:rsid w:val="00A37DDA"/>
    <w:rsid w:val="00A45005"/>
    <w:rsid w:val="00A55A62"/>
    <w:rsid w:val="00A66857"/>
    <w:rsid w:val="00A73123"/>
    <w:rsid w:val="00A76790"/>
    <w:rsid w:val="00A925EC"/>
    <w:rsid w:val="00A929AA"/>
    <w:rsid w:val="00A92B6B"/>
    <w:rsid w:val="00A96649"/>
    <w:rsid w:val="00AA541E"/>
    <w:rsid w:val="00AB5413"/>
    <w:rsid w:val="00AD0DA4"/>
    <w:rsid w:val="00AD4169"/>
    <w:rsid w:val="00AE25C6"/>
    <w:rsid w:val="00AE306C"/>
    <w:rsid w:val="00AF0E1D"/>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87BBA"/>
    <w:rsid w:val="00B92F9B"/>
    <w:rsid w:val="00B93DB1"/>
    <w:rsid w:val="00B941B3"/>
    <w:rsid w:val="00B96513"/>
    <w:rsid w:val="00BA1D47"/>
    <w:rsid w:val="00BA36C9"/>
    <w:rsid w:val="00BA66F0"/>
    <w:rsid w:val="00BB2239"/>
    <w:rsid w:val="00BB2AE7"/>
    <w:rsid w:val="00BB6464"/>
    <w:rsid w:val="00BC1BB8"/>
    <w:rsid w:val="00BD7FE1"/>
    <w:rsid w:val="00BE37CA"/>
    <w:rsid w:val="00BE6144"/>
    <w:rsid w:val="00BE635A"/>
    <w:rsid w:val="00BF17E9"/>
    <w:rsid w:val="00BF2ABB"/>
    <w:rsid w:val="00BF5099"/>
    <w:rsid w:val="00C0326E"/>
    <w:rsid w:val="00C10F10"/>
    <w:rsid w:val="00C15D4D"/>
    <w:rsid w:val="00C175DC"/>
    <w:rsid w:val="00C24144"/>
    <w:rsid w:val="00C30171"/>
    <w:rsid w:val="00C309D8"/>
    <w:rsid w:val="00C322B4"/>
    <w:rsid w:val="00C357F6"/>
    <w:rsid w:val="00C414A9"/>
    <w:rsid w:val="00C43519"/>
    <w:rsid w:val="00C45263"/>
    <w:rsid w:val="00C51537"/>
    <w:rsid w:val="00C52BC3"/>
    <w:rsid w:val="00C55B5A"/>
    <w:rsid w:val="00C61AFA"/>
    <w:rsid w:val="00C61D64"/>
    <w:rsid w:val="00C62099"/>
    <w:rsid w:val="00C64EA3"/>
    <w:rsid w:val="00C72867"/>
    <w:rsid w:val="00C75E81"/>
    <w:rsid w:val="00C86609"/>
    <w:rsid w:val="00C92B4C"/>
    <w:rsid w:val="00C954F6"/>
    <w:rsid w:val="00CA36A0"/>
    <w:rsid w:val="00CA6BC5"/>
    <w:rsid w:val="00CC571B"/>
    <w:rsid w:val="00CC61CD"/>
    <w:rsid w:val="00CC6C02"/>
    <w:rsid w:val="00CC737B"/>
    <w:rsid w:val="00CD5011"/>
    <w:rsid w:val="00CE640F"/>
    <w:rsid w:val="00CE76BC"/>
    <w:rsid w:val="00CF540E"/>
    <w:rsid w:val="00D01D16"/>
    <w:rsid w:val="00D02F07"/>
    <w:rsid w:val="00D15D88"/>
    <w:rsid w:val="00D27EBE"/>
    <w:rsid w:val="00D36A49"/>
    <w:rsid w:val="00D517C6"/>
    <w:rsid w:val="00D61FD1"/>
    <w:rsid w:val="00D71D84"/>
    <w:rsid w:val="00D72464"/>
    <w:rsid w:val="00D72A57"/>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30E2"/>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941"/>
    <w:rsid w:val="00E3723D"/>
    <w:rsid w:val="00E44B8A"/>
    <w:rsid w:val="00E44C89"/>
    <w:rsid w:val="00E457A6"/>
    <w:rsid w:val="00E52375"/>
    <w:rsid w:val="00E52797"/>
    <w:rsid w:val="00E61BA2"/>
    <w:rsid w:val="00E63864"/>
    <w:rsid w:val="00E6403F"/>
    <w:rsid w:val="00E75451"/>
    <w:rsid w:val="00E770C4"/>
    <w:rsid w:val="00E84C5A"/>
    <w:rsid w:val="00E861DB"/>
    <w:rsid w:val="00E908F1"/>
    <w:rsid w:val="00E93406"/>
    <w:rsid w:val="00E9402C"/>
    <w:rsid w:val="00E956C5"/>
    <w:rsid w:val="00E95C39"/>
    <w:rsid w:val="00EA2C39"/>
    <w:rsid w:val="00EB0A3C"/>
    <w:rsid w:val="00EB0A96"/>
    <w:rsid w:val="00EB164C"/>
    <w:rsid w:val="00EB1D82"/>
    <w:rsid w:val="00EB77F9"/>
    <w:rsid w:val="00EC46CB"/>
    <w:rsid w:val="00EC5769"/>
    <w:rsid w:val="00EC7D00"/>
    <w:rsid w:val="00ED0304"/>
    <w:rsid w:val="00ED2F67"/>
    <w:rsid w:val="00ED5B7B"/>
    <w:rsid w:val="00EE38FA"/>
    <w:rsid w:val="00EE3E2C"/>
    <w:rsid w:val="00EE5D23"/>
    <w:rsid w:val="00EE750D"/>
    <w:rsid w:val="00EF3CA4"/>
    <w:rsid w:val="00EF7362"/>
    <w:rsid w:val="00EF7859"/>
    <w:rsid w:val="00F014DA"/>
    <w:rsid w:val="00F02591"/>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E3C1D"/>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79B1F"/>
  <w15:docId w15:val="{08F09E74-5B2B-4FEA-8D2D-8DC7EE62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D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E5E2965F1E4BFCBD0167C153D16F10"/>
        <w:category>
          <w:name w:val="General"/>
          <w:gallery w:val="placeholder"/>
        </w:category>
        <w:types>
          <w:type w:val="bbPlcHdr"/>
        </w:types>
        <w:behaviors>
          <w:behavior w:val="content"/>
        </w:behaviors>
        <w:guid w:val="{3B50064A-C36F-49C9-8CE6-8CAA835BA5A9}"/>
      </w:docPartPr>
      <w:docPartBody>
        <w:p w:rsidR="00035A49" w:rsidRDefault="00984FF7">
          <w:pPr>
            <w:pStyle w:val="32E5E2965F1E4BFCBD0167C153D16F10"/>
          </w:pPr>
          <w:r w:rsidRPr="000E6CF8">
            <w:rPr>
              <w:rStyle w:val="PlaceholderText"/>
            </w:rPr>
            <w:t>[Title]</w:t>
          </w:r>
        </w:p>
      </w:docPartBody>
    </w:docPart>
    <w:docPart>
      <w:docPartPr>
        <w:name w:val="999CE74C4B554D3690808C26653889B5"/>
        <w:category>
          <w:name w:val="General"/>
          <w:gallery w:val="placeholder"/>
        </w:category>
        <w:types>
          <w:type w:val="bbPlcHdr"/>
        </w:types>
        <w:behaviors>
          <w:behavior w:val="content"/>
        </w:behaviors>
        <w:guid w:val="{EF6BC89D-59BF-4B72-BB84-7A59D9CFC692}"/>
      </w:docPartPr>
      <w:docPartBody>
        <w:p w:rsidR="00AA41D6" w:rsidRDefault="00553453" w:rsidP="00553453">
          <w:pPr>
            <w:pStyle w:val="999CE74C4B554D3690808C26653889B5"/>
          </w:pPr>
          <w:r w:rsidRPr="000E6CF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F7"/>
    <w:rsid w:val="00035A49"/>
    <w:rsid w:val="00314568"/>
    <w:rsid w:val="00553453"/>
    <w:rsid w:val="00984FF7"/>
    <w:rsid w:val="00AA41D6"/>
    <w:rsid w:val="00D94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453"/>
    <w:rPr>
      <w:color w:val="808080"/>
    </w:rPr>
  </w:style>
  <w:style w:type="paragraph" w:customStyle="1" w:styleId="32E5E2965F1E4BFCBD0167C153D16F10">
    <w:name w:val="32E5E2965F1E4BFCBD0167C153D16F10"/>
  </w:style>
  <w:style w:type="paragraph" w:customStyle="1" w:styleId="999CE74C4B554D3690808C26653889B5">
    <w:name w:val="999CE74C4B554D3690808C26653889B5"/>
    <w:rsid w:val="005534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_x0020_name xmlns="a62f3bd8-32e1-4d41-a1d0-99373f6c055b">office templates</Folder_x0020_name>
    <zggd xmlns="a62f3bd8-32e1-4d41-a1d0-99373f6c055b" xsi:nil="true"/>
    <Document_x0020_Type xmlns="a62f3bd8-32e1-4d41-a1d0-99373f6c055b">Resource</Docum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79635F5245544D92C4447B93135309" ma:contentTypeVersion="6" ma:contentTypeDescription="Create a new document." ma:contentTypeScope="" ma:versionID="84de92b8ce3cfdc4f3d91aebc12490fc">
  <xsd:schema xmlns:xsd="http://www.w3.org/2001/XMLSchema" xmlns:xs="http://www.w3.org/2001/XMLSchema" xmlns:p="http://schemas.microsoft.com/office/2006/metadata/properties" xmlns:ns2="fbe80d51-3b18-44a1-8daa-91c665209920" xmlns:ns3="a62f3bd8-32e1-4d41-a1d0-99373f6c055b" targetNamespace="http://schemas.microsoft.com/office/2006/metadata/properties" ma:root="true" ma:fieldsID="24c382698b49262b1bae3c72337b01de" ns2:_="" ns3:_="">
    <xsd:import namespace="fbe80d51-3b18-44a1-8daa-91c665209920"/>
    <xsd:import namespace="a62f3bd8-32e1-4d41-a1d0-99373f6c055b"/>
    <xsd:element name="properties">
      <xsd:complexType>
        <xsd:sequence>
          <xsd:element name="documentManagement">
            <xsd:complexType>
              <xsd:all>
                <xsd:element ref="ns2:SharedWithUsers" minOccurs="0"/>
                <xsd:element ref="ns3:Document_x0020_Type" minOccurs="0"/>
                <xsd:element ref="ns3:zggd" minOccurs="0"/>
                <xsd:element ref="ns3:Folder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80d51-3b18-44a1-8daa-91c6652099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2f3bd8-32e1-4d41-a1d0-99373f6c055b" elementFormDefault="qualified">
    <xsd:import namespace="http://schemas.microsoft.com/office/2006/documentManagement/types"/>
    <xsd:import namespace="http://schemas.microsoft.com/office/infopath/2007/PartnerControls"/>
    <xsd:element name="Document_x0020_Type" ma:index="9" nillable="true" ma:displayName="Document Type" ma:format="Dropdown" ma:internalName="Document_x0020_Type">
      <xsd:simpleType>
        <xsd:restriction base="dms:Choice">
          <xsd:enumeration value="Policy"/>
          <xsd:enumeration value="Procedure"/>
          <xsd:enumeration value="Form"/>
          <xsd:enumeration value="Guideline"/>
          <xsd:enumeration value="Resource"/>
        </xsd:restriction>
      </xsd:simpleType>
    </xsd:element>
    <xsd:element name="zggd" ma:index="10" nillable="true" ma:displayName="Number" ma:internalName="zggd">
      <xsd:simpleType>
        <xsd:restriction base="dms:Number"/>
      </xsd:simpleType>
    </xsd:element>
    <xsd:element name="Folder_x0020_name" ma:index="11" nillable="true" ma:displayName="Folder name" ma:internalName="Folder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DAF2A6-C86A-4FFA-9DF1-356F5895ED3F}">
  <ds:schemaRefs>
    <ds:schemaRef ds:uri="http://schemas.microsoft.com/sharepoint/v3/contenttype/forms"/>
  </ds:schemaRefs>
</ds:datastoreItem>
</file>

<file path=customXml/itemProps3.xml><?xml version="1.0" encoding="utf-8"?>
<ds:datastoreItem xmlns:ds="http://schemas.openxmlformats.org/officeDocument/2006/customXml" ds:itemID="{3960A5D4-6077-4D8D-B5CC-0A8C47053906}">
  <ds:schemaRefs>
    <ds:schemaRef ds:uri="http://schemas.microsoft.com/office/2006/metadata/properties"/>
    <ds:schemaRef ds:uri="http://schemas.microsoft.com/office/infopath/2007/PartnerControls"/>
    <ds:schemaRef ds:uri="a62f3bd8-32e1-4d41-a1d0-99373f6c055b"/>
  </ds:schemaRefs>
</ds:datastoreItem>
</file>

<file path=customXml/itemProps4.xml><?xml version="1.0" encoding="utf-8"?>
<ds:datastoreItem xmlns:ds="http://schemas.openxmlformats.org/officeDocument/2006/customXml" ds:itemID="{6283F33B-F11D-49FF-ABA1-12EB3752F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80d51-3b18-44a1-8daa-91c665209920"/>
    <ds:schemaRef ds:uri="a62f3bd8-32e1-4d41-a1d0-99373f6c0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EED96C-D7BE-44E4-82DE-DA9E511C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Is HomeBuild Access for you?</vt:lpstr>
    </vt:vector>
  </TitlesOfParts>
  <Company>TERRITORY FAMILIES, HOUSING AND COMMUNITIES</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HomeBuild Access for you?</dc:title>
  <dc:creator>Northern Territory Government</dc:creator>
  <cp:lastModifiedBy>Julie-Anne Felton</cp:lastModifiedBy>
  <cp:revision>2</cp:revision>
  <cp:lastPrinted>2021-08-13T04:10:00Z</cp:lastPrinted>
  <dcterms:created xsi:type="dcterms:W3CDTF">2023-03-31T04:32:00Z</dcterms:created>
  <dcterms:modified xsi:type="dcterms:W3CDTF">2023-03-31T04:32:00Z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0x0101007379635F5245544D92C4447B93135309</vt:lpwstr>
  </property>
</Properties>
</file>