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D45201">
      <w:pPr>
        <w:pStyle w:val="Gazettenoanddate"/>
        <w:tabs>
          <w:tab w:val="left" w:pos="7088"/>
        </w:tabs>
        <w:jc w:val="both"/>
      </w:pPr>
      <w:bookmarkStart w:id="0" w:name="SenderStreetAddress"/>
      <w:bookmarkStart w:id="1" w:name="SenderStreetAddress1"/>
      <w:bookmarkStart w:id="2" w:name="RecipientName"/>
      <w:bookmarkStart w:id="3" w:name="Date"/>
      <w:bookmarkEnd w:id="0"/>
      <w:bookmarkEnd w:id="1"/>
      <w:bookmarkEnd w:id="2"/>
      <w:bookmarkEnd w:id="3"/>
      <w:r>
        <w:t>No. S</w:t>
      </w:r>
      <w:r w:rsidR="00605B81">
        <w:t>60</w:t>
      </w:r>
      <w:r w:rsidR="00053007">
        <w:tab/>
      </w:r>
      <w:r w:rsidR="00605B81">
        <w:t>16</w:t>
      </w:r>
      <w:r w:rsidR="009054B5">
        <w:t xml:space="preserve"> August</w:t>
      </w:r>
      <w:r w:rsidR="003C04AD">
        <w:t xml:space="preserve"> 2017</w:t>
      </w:r>
    </w:p>
    <w:p w:rsidR="00161F30" w:rsidRDefault="00161F30" w:rsidP="00073893">
      <w:pPr>
        <w:tabs>
          <w:tab w:val="left" w:pos="8640"/>
        </w:tabs>
        <w:spacing w:before="0" w:after="0"/>
        <w:jc w:val="right"/>
        <w:rPr>
          <w:spacing w:val="-3"/>
        </w:rPr>
      </w:pPr>
    </w:p>
    <w:p w:rsidR="00467B30" w:rsidRPr="00467B30" w:rsidRDefault="00467B30" w:rsidP="00467B30">
      <w:pPr>
        <w:spacing w:before="120" w:after="120"/>
        <w:jc w:val="center"/>
        <w:rPr>
          <w:rFonts w:cs="Helvetica"/>
          <w:szCs w:val="24"/>
        </w:rPr>
      </w:pPr>
      <w:r w:rsidRPr="00467B30">
        <w:rPr>
          <w:rFonts w:cs="Helvetica"/>
          <w:szCs w:val="24"/>
        </w:rPr>
        <w:t>Northern Territory of Australia</w:t>
      </w:r>
    </w:p>
    <w:p w:rsidR="00467B30" w:rsidRPr="00467B30" w:rsidRDefault="00467B30" w:rsidP="00467B30">
      <w:pPr>
        <w:spacing w:before="120" w:after="120"/>
        <w:jc w:val="center"/>
        <w:rPr>
          <w:rFonts w:cs="Helvetica"/>
          <w:i/>
          <w:szCs w:val="24"/>
        </w:rPr>
      </w:pPr>
      <w:r w:rsidRPr="00467B30">
        <w:rPr>
          <w:rFonts w:cs="Helvetica"/>
          <w:i/>
          <w:szCs w:val="24"/>
        </w:rPr>
        <w:t xml:space="preserve">Motor Accidents (Compensation) Commission Act </w:t>
      </w:r>
    </w:p>
    <w:p w:rsidR="00467B30" w:rsidRPr="00467B30" w:rsidRDefault="00467B30" w:rsidP="00467B30">
      <w:pPr>
        <w:pStyle w:val="NormalLetter"/>
        <w:jc w:val="center"/>
        <w:rPr>
          <w:rFonts w:ascii="Helvetica" w:hAnsi="Helvetica" w:cs="Helvetica"/>
          <w:szCs w:val="24"/>
        </w:rPr>
      </w:pPr>
      <w:r w:rsidRPr="00467B30">
        <w:rPr>
          <w:rFonts w:ascii="Helvetica" w:hAnsi="Helvetica" w:cs="Helvetica"/>
          <w:szCs w:val="24"/>
        </w:rPr>
        <w:t>Treasurer Determination 1/2017</w:t>
      </w:r>
    </w:p>
    <w:p w:rsidR="00467B30" w:rsidRPr="00467B30" w:rsidRDefault="00467B30" w:rsidP="00467B30">
      <w:pPr>
        <w:pStyle w:val="NormalLetter"/>
        <w:rPr>
          <w:rFonts w:ascii="Helvetica" w:hAnsi="Helvetica" w:cs="Helvetica"/>
          <w:szCs w:val="24"/>
        </w:rPr>
      </w:pPr>
      <w:r w:rsidRPr="00467B30">
        <w:rPr>
          <w:rFonts w:ascii="Helvetica" w:hAnsi="Helvetica" w:cs="Helvetica"/>
          <w:szCs w:val="24"/>
        </w:rPr>
        <w:t xml:space="preserve">I, Nicole Susan Manison, the Treasurer, pursuant to section 25 of the </w:t>
      </w:r>
      <w:r w:rsidRPr="00467B30">
        <w:rPr>
          <w:rFonts w:ascii="Helvetica" w:hAnsi="Helvetica" w:cs="Helvetica"/>
          <w:i/>
          <w:szCs w:val="24"/>
        </w:rPr>
        <w:t>Motor Accidents (Compensation) Commission Act 2014</w:t>
      </w:r>
      <w:r w:rsidRPr="00467B30">
        <w:rPr>
          <w:rFonts w:ascii="Helvetica" w:hAnsi="Helvetica" w:cs="Helvetica"/>
          <w:szCs w:val="24"/>
        </w:rPr>
        <w:t>, make the following determination.</w:t>
      </w:r>
    </w:p>
    <w:p w:rsidR="00467B30" w:rsidRPr="00467B30" w:rsidRDefault="00467B30" w:rsidP="00467B30">
      <w:pPr>
        <w:pStyle w:val="NormalLetter"/>
        <w:spacing w:before="240" w:after="240"/>
        <w:rPr>
          <w:rFonts w:ascii="Helvetica" w:hAnsi="Helvetica" w:cs="Helvetica"/>
          <w:szCs w:val="24"/>
        </w:rPr>
      </w:pPr>
      <w:r>
        <w:rPr>
          <w:rFonts w:ascii="Helvetica" w:hAnsi="Helvetica" w:cs="Helvetica"/>
          <w:szCs w:val="24"/>
        </w:rPr>
        <w:t xml:space="preserve">Dated 8 August </w:t>
      </w:r>
      <w:r w:rsidRPr="00467B30">
        <w:rPr>
          <w:rFonts w:ascii="Helvetica" w:hAnsi="Helvetica" w:cs="Helvetica"/>
          <w:szCs w:val="24"/>
        </w:rPr>
        <w:t>2017</w:t>
      </w:r>
    </w:p>
    <w:p w:rsidR="00467B30" w:rsidRPr="00467B30" w:rsidRDefault="00467B30" w:rsidP="00467B30">
      <w:pPr>
        <w:pStyle w:val="NormalLetter"/>
        <w:spacing w:before="240" w:after="0"/>
        <w:jc w:val="right"/>
        <w:rPr>
          <w:rFonts w:ascii="Helvetica" w:hAnsi="Helvetica" w:cs="Helvetica"/>
          <w:szCs w:val="24"/>
        </w:rPr>
      </w:pPr>
      <w:r>
        <w:rPr>
          <w:rFonts w:ascii="Helvetica" w:hAnsi="Helvetica" w:cs="Helvetica"/>
          <w:szCs w:val="24"/>
        </w:rPr>
        <w:t>N. S. Manison</w:t>
      </w:r>
    </w:p>
    <w:p w:rsidR="00A27435" w:rsidRPr="00A27435" w:rsidRDefault="00467B30" w:rsidP="00A27435">
      <w:pPr>
        <w:pStyle w:val="NormalLetter"/>
        <w:spacing w:before="0"/>
        <w:jc w:val="right"/>
        <w:rPr>
          <w:rFonts w:ascii="Helvetica" w:hAnsi="Helvetica" w:cs="Helvetica"/>
          <w:szCs w:val="24"/>
        </w:rPr>
      </w:pPr>
      <w:r w:rsidRPr="00467B30">
        <w:rPr>
          <w:rFonts w:ascii="Helvetica" w:hAnsi="Helvetica" w:cs="Helvetica"/>
          <w:szCs w:val="24"/>
        </w:rPr>
        <w:t>Treasurer</w:t>
      </w:r>
    </w:p>
    <w:p w:rsidR="00A27435" w:rsidRPr="00467B30" w:rsidRDefault="00A27435" w:rsidP="00A27435">
      <w:pPr>
        <w:pStyle w:val="NormalLetter"/>
        <w:spacing w:before="0"/>
        <w:jc w:val="center"/>
        <w:rPr>
          <w:rFonts w:ascii="Helvetica" w:hAnsi="Helvetica" w:cs="Helvetica"/>
          <w:szCs w:val="24"/>
        </w:rPr>
      </w:pPr>
      <w:r>
        <w:rPr>
          <w:rFonts w:ascii="Helvetica" w:hAnsi="Helvetica" w:cs="Helvetica"/>
          <w:szCs w:val="24"/>
        </w:rPr>
        <w:t>________________________________________</w:t>
      </w:r>
    </w:p>
    <w:p w:rsidR="00467B30" w:rsidRPr="00467B30" w:rsidRDefault="00467B30" w:rsidP="00467B30">
      <w:pPr>
        <w:pageBreakBefore/>
        <w:spacing w:before="120" w:after="120"/>
        <w:jc w:val="center"/>
        <w:rPr>
          <w:rFonts w:cs="Helvetica"/>
          <w:szCs w:val="24"/>
        </w:rPr>
      </w:pPr>
      <w:r w:rsidRPr="00467B30">
        <w:rPr>
          <w:rFonts w:cs="Helvetica"/>
          <w:szCs w:val="24"/>
        </w:rPr>
        <w:lastRenderedPageBreak/>
        <w:t>Northern Territory of Australia</w:t>
      </w:r>
    </w:p>
    <w:p w:rsidR="00467B30" w:rsidRPr="00467B30" w:rsidRDefault="00467B30" w:rsidP="00467B30">
      <w:pPr>
        <w:spacing w:before="120" w:after="120"/>
        <w:jc w:val="center"/>
        <w:rPr>
          <w:rFonts w:cs="Helvetica"/>
          <w:szCs w:val="24"/>
        </w:rPr>
      </w:pPr>
      <w:r w:rsidRPr="00467B30">
        <w:rPr>
          <w:rFonts w:cs="Helvetica"/>
          <w:szCs w:val="24"/>
        </w:rPr>
        <w:t>Treasurer Determination 1/2017</w:t>
      </w:r>
    </w:p>
    <w:p w:rsidR="00467B30" w:rsidRPr="00467B30" w:rsidRDefault="00467B30" w:rsidP="00467B30">
      <w:pPr>
        <w:pStyle w:val="Heading1"/>
        <w:widowControl/>
        <w:numPr>
          <w:ilvl w:val="0"/>
          <w:numId w:val="40"/>
        </w:numPr>
        <w:spacing w:before="0" w:after="120" w:line="360" w:lineRule="auto"/>
        <w:jc w:val="both"/>
        <w:rPr>
          <w:rFonts w:cs="Helvetica"/>
          <w:sz w:val="24"/>
          <w:szCs w:val="24"/>
        </w:rPr>
      </w:pPr>
      <w:r w:rsidRPr="00467B30">
        <w:rPr>
          <w:rFonts w:cs="Helvetica"/>
          <w:sz w:val="24"/>
          <w:szCs w:val="24"/>
        </w:rPr>
        <w:t>Application and Interpretation</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The provisions of this Determination apply with effect immediately.</w:t>
      </w:r>
    </w:p>
    <w:p w:rsidR="00467B30" w:rsidRPr="00467B30" w:rsidRDefault="00467B30" w:rsidP="005B706E">
      <w:pPr>
        <w:pStyle w:val="Heading2"/>
        <w:widowControl/>
        <w:numPr>
          <w:ilvl w:val="1"/>
          <w:numId w:val="41"/>
        </w:numPr>
        <w:spacing w:before="0" w:after="120"/>
        <w:jc w:val="both"/>
        <w:rPr>
          <w:rFonts w:cs="Helvetica"/>
          <w:sz w:val="24"/>
          <w:szCs w:val="24"/>
        </w:rPr>
      </w:pPr>
      <w:r w:rsidRPr="00467B30">
        <w:rPr>
          <w:rFonts w:cs="Helvetica"/>
          <w:sz w:val="24"/>
          <w:szCs w:val="24"/>
        </w:rPr>
        <w:t xml:space="preserve">This Determination has been prepared by the Treasurer following consultation with the Motor Accidents (Compensation) Commission. </w:t>
      </w:r>
    </w:p>
    <w:p w:rsidR="00467B30" w:rsidRPr="00467B30" w:rsidRDefault="00467B30" w:rsidP="005B706E">
      <w:pPr>
        <w:pStyle w:val="Heading2"/>
        <w:widowControl/>
        <w:numPr>
          <w:ilvl w:val="1"/>
          <w:numId w:val="41"/>
        </w:numPr>
        <w:spacing w:before="0" w:after="120"/>
        <w:jc w:val="both"/>
        <w:rPr>
          <w:rFonts w:cs="Helvetica"/>
          <w:sz w:val="24"/>
          <w:szCs w:val="24"/>
        </w:rPr>
      </w:pPr>
      <w:r w:rsidRPr="00467B30">
        <w:rPr>
          <w:rFonts w:cs="Helvetica"/>
          <w:sz w:val="24"/>
          <w:szCs w:val="24"/>
        </w:rPr>
        <w:t>Motor Accidents (Compensation) Commission Determination 1/2016 will cease to have effect on and from the commencement of this Determination.</w:t>
      </w:r>
    </w:p>
    <w:p w:rsidR="00467B30" w:rsidRPr="00467B30" w:rsidRDefault="00467B30" w:rsidP="005B706E">
      <w:pPr>
        <w:pStyle w:val="Heading2"/>
        <w:widowControl/>
        <w:numPr>
          <w:ilvl w:val="1"/>
          <w:numId w:val="41"/>
        </w:numPr>
        <w:spacing w:before="0" w:after="120"/>
        <w:jc w:val="both"/>
        <w:rPr>
          <w:rFonts w:cs="Helvetica"/>
          <w:sz w:val="24"/>
          <w:szCs w:val="24"/>
        </w:rPr>
      </w:pPr>
      <w:r w:rsidRPr="00467B30">
        <w:rPr>
          <w:rFonts w:cs="Helvetica"/>
          <w:sz w:val="24"/>
          <w:szCs w:val="24"/>
        </w:rPr>
        <w:t>In this Determination:</w:t>
      </w:r>
    </w:p>
    <w:p w:rsidR="00467B30" w:rsidRPr="00467B30" w:rsidRDefault="00467B30" w:rsidP="005B706E">
      <w:pPr>
        <w:pStyle w:val="BodyText"/>
        <w:spacing w:after="120"/>
        <w:jc w:val="both"/>
        <w:rPr>
          <w:rFonts w:ascii="Helvetica" w:hAnsi="Helvetica" w:cs="Helvetica"/>
          <w:b/>
          <w:sz w:val="24"/>
          <w:szCs w:val="24"/>
        </w:rPr>
      </w:pPr>
      <w:r w:rsidRPr="00467B30">
        <w:rPr>
          <w:rFonts w:ascii="Helvetica" w:hAnsi="Helvetica" w:cs="Helvetica"/>
          <w:sz w:val="24"/>
          <w:szCs w:val="24"/>
        </w:rPr>
        <w:t xml:space="preserve">“Act” means the </w:t>
      </w:r>
      <w:r w:rsidRPr="005B706E">
        <w:rPr>
          <w:rFonts w:ascii="Helvetica" w:hAnsi="Helvetica" w:cs="Helvetica"/>
          <w:i/>
          <w:sz w:val="24"/>
          <w:szCs w:val="24"/>
        </w:rPr>
        <w:t>Motor Accidents (Compensation) Commission Act</w:t>
      </w:r>
      <w:r w:rsidRPr="00467B30">
        <w:rPr>
          <w:rFonts w:ascii="Helvetica" w:hAnsi="Helvetica" w:cs="Helvetica"/>
          <w:sz w:val="24"/>
          <w:szCs w:val="24"/>
        </w:rPr>
        <w:t xml:space="preserve"> </w:t>
      </w:r>
      <w:r w:rsidRPr="00BC1F58">
        <w:rPr>
          <w:rFonts w:ascii="Helvetica" w:hAnsi="Helvetica" w:cs="Helvetica"/>
          <w:i/>
          <w:sz w:val="24"/>
          <w:szCs w:val="24"/>
        </w:rPr>
        <w:t>2014</w:t>
      </w:r>
      <w:r w:rsidRPr="00467B30">
        <w:rPr>
          <w:rFonts w:ascii="Helvetica" w:hAnsi="Helvetica" w:cs="Helvetica"/>
          <w:sz w:val="24"/>
          <w:szCs w:val="24"/>
        </w:rPr>
        <w:t>.</w:t>
      </w:r>
    </w:p>
    <w:p w:rsidR="00467B30" w:rsidRPr="00467B30" w:rsidRDefault="00467B30" w:rsidP="005B706E">
      <w:pPr>
        <w:pStyle w:val="BodyText"/>
        <w:spacing w:after="120"/>
        <w:jc w:val="both"/>
        <w:rPr>
          <w:rFonts w:ascii="Helvetica" w:hAnsi="Helvetica" w:cs="Helvetica"/>
          <w:sz w:val="24"/>
          <w:szCs w:val="24"/>
        </w:rPr>
      </w:pPr>
      <w:r w:rsidRPr="00467B30">
        <w:rPr>
          <w:rFonts w:ascii="Helvetica" w:hAnsi="Helvetica" w:cs="Helvetica"/>
          <w:sz w:val="24"/>
          <w:szCs w:val="24"/>
        </w:rPr>
        <w:t>“ADI” means an Approved Deposit-taking Institution</w:t>
      </w:r>
    </w:p>
    <w:p w:rsidR="00467B30" w:rsidRPr="00467B30" w:rsidRDefault="00467B30" w:rsidP="005B706E">
      <w:pPr>
        <w:pStyle w:val="BodyText"/>
        <w:spacing w:after="120"/>
        <w:jc w:val="both"/>
        <w:rPr>
          <w:rFonts w:ascii="Helvetica" w:hAnsi="Helvetica" w:cs="Helvetica"/>
          <w:sz w:val="24"/>
          <w:szCs w:val="24"/>
        </w:rPr>
      </w:pPr>
      <w:r w:rsidRPr="00467B30">
        <w:rPr>
          <w:rFonts w:ascii="Helvetica" w:hAnsi="Helvetica" w:cs="Helvetica"/>
          <w:sz w:val="24"/>
          <w:szCs w:val="24"/>
        </w:rPr>
        <w:t>“APRA” means the Australian Prudential Regulation Authority.</w:t>
      </w:r>
    </w:p>
    <w:p w:rsidR="00467B30" w:rsidRPr="00467B30" w:rsidRDefault="00467B30" w:rsidP="005B706E">
      <w:pPr>
        <w:pStyle w:val="BodyText"/>
        <w:spacing w:after="120"/>
        <w:jc w:val="both"/>
        <w:rPr>
          <w:rFonts w:ascii="Helvetica" w:hAnsi="Helvetica" w:cs="Helvetica"/>
          <w:sz w:val="24"/>
          <w:szCs w:val="24"/>
        </w:rPr>
      </w:pPr>
      <w:r w:rsidRPr="00467B30">
        <w:rPr>
          <w:rFonts w:ascii="Helvetica" w:hAnsi="Helvetica" w:cs="Helvetica"/>
          <w:sz w:val="24"/>
          <w:szCs w:val="24"/>
        </w:rPr>
        <w:t>“ASX 200 dividend yield” is the ASX 200 dividend yield determined using dividends for the 12 months prior to the reporting date and asset values at the reporting date.</w:t>
      </w:r>
    </w:p>
    <w:p w:rsidR="00467B30" w:rsidRPr="00467B30" w:rsidRDefault="00467B30" w:rsidP="005B706E">
      <w:pPr>
        <w:pStyle w:val="BodyText"/>
        <w:spacing w:after="120"/>
        <w:jc w:val="both"/>
        <w:rPr>
          <w:rFonts w:ascii="Helvetica" w:hAnsi="Helvetica" w:cs="Helvetica"/>
          <w:sz w:val="24"/>
          <w:szCs w:val="24"/>
        </w:rPr>
      </w:pPr>
      <w:r w:rsidRPr="00467B30">
        <w:rPr>
          <w:rFonts w:ascii="Helvetica" w:hAnsi="Helvetica" w:cs="Helvetica"/>
          <w:sz w:val="24"/>
          <w:szCs w:val="24"/>
        </w:rPr>
        <w:t xml:space="preserve">“APRA Standards” means the Prudential Standards applied by APRA under the </w:t>
      </w:r>
      <w:r w:rsidRPr="00467B30">
        <w:rPr>
          <w:rFonts w:ascii="Helvetica" w:hAnsi="Helvetica" w:cs="Helvetica"/>
          <w:i/>
          <w:sz w:val="24"/>
          <w:szCs w:val="24"/>
        </w:rPr>
        <w:t>Insurance Act 1973</w:t>
      </w:r>
      <w:r w:rsidRPr="00467B30">
        <w:rPr>
          <w:rFonts w:ascii="Helvetica" w:hAnsi="Helvetica" w:cs="Helvetica"/>
          <w:sz w:val="24"/>
          <w:szCs w:val="24"/>
        </w:rPr>
        <w:t xml:space="preserve"> and the </w:t>
      </w:r>
      <w:r w:rsidRPr="00467B30">
        <w:rPr>
          <w:rFonts w:ascii="Helvetica" w:hAnsi="Helvetica" w:cs="Helvetica"/>
          <w:i/>
          <w:sz w:val="24"/>
          <w:szCs w:val="24"/>
        </w:rPr>
        <w:t>Banking Act 1959</w:t>
      </w:r>
      <w:r w:rsidRPr="00467B30">
        <w:rPr>
          <w:rFonts w:ascii="Helvetica" w:hAnsi="Helvetica" w:cs="Helvetica"/>
          <w:sz w:val="24"/>
          <w:szCs w:val="24"/>
        </w:rPr>
        <w:t xml:space="preserve"> as are amended and current from time to time.</w:t>
      </w:r>
    </w:p>
    <w:p w:rsidR="00467B30" w:rsidRPr="00467B30" w:rsidRDefault="00467B30" w:rsidP="005B706E">
      <w:pPr>
        <w:pStyle w:val="BodyText"/>
        <w:spacing w:after="120"/>
        <w:jc w:val="both"/>
        <w:rPr>
          <w:rFonts w:ascii="Helvetica" w:hAnsi="Helvetica" w:cs="Helvetica"/>
          <w:sz w:val="24"/>
          <w:szCs w:val="24"/>
        </w:rPr>
      </w:pPr>
      <w:r w:rsidRPr="00467B30">
        <w:rPr>
          <w:rFonts w:ascii="Helvetica" w:hAnsi="Helvetica" w:cs="Helvetica"/>
          <w:sz w:val="24"/>
          <w:szCs w:val="24"/>
        </w:rPr>
        <w:t>“Catastrophic Risk Charge” means the net cost of 3 individual large claims as determined by the Appointed Actuary.</w:t>
      </w:r>
    </w:p>
    <w:p w:rsidR="00467B30" w:rsidRPr="00467B30" w:rsidRDefault="00467B30" w:rsidP="005B706E">
      <w:pPr>
        <w:pStyle w:val="BodyText"/>
        <w:spacing w:after="120"/>
        <w:jc w:val="both"/>
        <w:rPr>
          <w:rFonts w:ascii="Helvetica" w:hAnsi="Helvetica" w:cs="Helvetica"/>
          <w:sz w:val="24"/>
          <w:szCs w:val="24"/>
        </w:rPr>
      </w:pPr>
      <w:r w:rsidRPr="00467B30">
        <w:rPr>
          <w:rFonts w:ascii="Helvetica" w:hAnsi="Helvetica" w:cs="Helvetica"/>
          <w:sz w:val="24"/>
          <w:szCs w:val="24"/>
        </w:rPr>
        <w:t>“Commission” means the Motor Accidents (Compensation) Commission.</w:t>
      </w:r>
    </w:p>
    <w:p w:rsidR="00467B30" w:rsidRPr="00467B30" w:rsidRDefault="00467B30" w:rsidP="005B706E">
      <w:pPr>
        <w:pStyle w:val="BodyText"/>
        <w:spacing w:after="120"/>
        <w:jc w:val="both"/>
        <w:rPr>
          <w:rFonts w:ascii="Helvetica" w:hAnsi="Helvetica" w:cs="Helvetica"/>
          <w:sz w:val="24"/>
          <w:szCs w:val="24"/>
        </w:rPr>
      </w:pPr>
      <w:r w:rsidRPr="00467B30">
        <w:rPr>
          <w:rFonts w:ascii="Helvetica" w:hAnsi="Helvetica" w:cs="Helvetica"/>
          <w:sz w:val="24"/>
          <w:szCs w:val="24"/>
        </w:rPr>
        <w:t>“Diversification Benefit” means 30%</w:t>
      </w:r>
    </w:p>
    <w:p w:rsidR="00467B30" w:rsidRPr="00467B30" w:rsidRDefault="00467B30" w:rsidP="005B706E">
      <w:pPr>
        <w:pStyle w:val="BodyText"/>
        <w:spacing w:after="120"/>
        <w:jc w:val="both"/>
        <w:rPr>
          <w:rFonts w:ascii="Helvetica" w:hAnsi="Helvetica" w:cs="Helvetica"/>
          <w:sz w:val="24"/>
          <w:szCs w:val="24"/>
        </w:rPr>
      </w:pPr>
      <w:r w:rsidRPr="00467B30">
        <w:rPr>
          <w:rFonts w:ascii="Helvetica" w:hAnsi="Helvetica" w:cs="Helvetica"/>
          <w:sz w:val="24"/>
          <w:szCs w:val="24"/>
        </w:rPr>
        <w:t>“Economic Liability Margin” means the difference between the net outstanding claims liabilities from the financial accounts and the net outstanding claims provision estimated on an Economic Basis.</w:t>
      </w:r>
    </w:p>
    <w:p w:rsidR="00467B30" w:rsidRPr="00467B30" w:rsidRDefault="00467B30" w:rsidP="005B706E">
      <w:pPr>
        <w:pStyle w:val="BodyText"/>
        <w:spacing w:after="120"/>
        <w:jc w:val="both"/>
        <w:rPr>
          <w:rFonts w:ascii="Helvetica" w:hAnsi="Helvetica" w:cs="Helvetica"/>
          <w:sz w:val="24"/>
          <w:szCs w:val="24"/>
        </w:rPr>
      </w:pPr>
      <w:r w:rsidRPr="00467B30">
        <w:rPr>
          <w:rFonts w:ascii="Helvetica" w:hAnsi="Helvetica" w:cs="Helvetica"/>
          <w:sz w:val="24"/>
          <w:szCs w:val="24"/>
        </w:rPr>
        <w:t>“Economic Basis” means the calculation of net outstanding claims provision using an interest rate equal to 2% above the assumed inflation rate, claims handling expenses without any additional contract loadings, and a risk margin which increases the probability of sufficiency of the liabilities from 75% to 90%.</w:t>
      </w:r>
    </w:p>
    <w:p w:rsidR="00467B30" w:rsidRPr="00467B30" w:rsidRDefault="00467B30" w:rsidP="005B706E">
      <w:pPr>
        <w:pStyle w:val="BodyText"/>
        <w:spacing w:after="120"/>
        <w:ind w:left="924"/>
        <w:jc w:val="both"/>
        <w:rPr>
          <w:rFonts w:ascii="Helvetica" w:hAnsi="Helvetica" w:cs="Helvetica"/>
          <w:sz w:val="24"/>
          <w:szCs w:val="24"/>
        </w:rPr>
      </w:pPr>
      <w:r w:rsidRPr="00467B30">
        <w:rPr>
          <w:rFonts w:ascii="Helvetica" w:hAnsi="Helvetica" w:cs="Helvetica"/>
          <w:sz w:val="24"/>
          <w:szCs w:val="24"/>
        </w:rPr>
        <w:t>“Gross Outstanding Claims” means the gross outstanding claims provision estimated on an economic basis.</w:t>
      </w:r>
    </w:p>
    <w:p w:rsidR="00A1699F" w:rsidRDefault="00467B30" w:rsidP="005B706E">
      <w:pPr>
        <w:pStyle w:val="BodyText"/>
        <w:spacing w:after="120"/>
        <w:ind w:left="924"/>
        <w:jc w:val="both"/>
        <w:rPr>
          <w:rFonts w:ascii="Helvetica" w:hAnsi="Helvetica" w:cs="Helvetica"/>
          <w:sz w:val="24"/>
          <w:szCs w:val="24"/>
        </w:rPr>
      </w:pPr>
      <w:r w:rsidRPr="00467B30">
        <w:rPr>
          <w:rFonts w:ascii="Helvetica" w:hAnsi="Helvetica" w:cs="Helvetica"/>
          <w:sz w:val="24"/>
          <w:szCs w:val="24"/>
        </w:rPr>
        <w:t>“Gross Unearned Contributions” means the gross unearned contributions as recorded in the Motor Accidents (Compensation) Commission’s financial accounts.</w:t>
      </w:r>
    </w:p>
    <w:p w:rsidR="00467B30" w:rsidRPr="00467B30" w:rsidRDefault="00467B30" w:rsidP="005B706E">
      <w:pPr>
        <w:pStyle w:val="BodyText"/>
        <w:spacing w:after="120"/>
        <w:ind w:left="924"/>
        <w:jc w:val="both"/>
        <w:rPr>
          <w:rFonts w:ascii="Helvetica" w:hAnsi="Helvetica" w:cs="Helvetica"/>
          <w:sz w:val="24"/>
          <w:szCs w:val="24"/>
        </w:rPr>
      </w:pPr>
      <w:r w:rsidRPr="00467B30">
        <w:rPr>
          <w:rFonts w:ascii="Helvetica" w:hAnsi="Helvetica" w:cs="Helvetica"/>
          <w:sz w:val="24"/>
          <w:szCs w:val="24"/>
        </w:rPr>
        <w:t>“Growth Assets” means the value of total investments as recorded in the Motor Accidents (Compensation) Commission’s financial accounts, less those investments in fixed interest assets, bonds and cash.</w:t>
      </w:r>
    </w:p>
    <w:p w:rsidR="00467B30" w:rsidRPr="00467B30" w:rsidRDefault="00467B30" w:rsidP="005B706E">
      <w:pPr>
        <w:pStyle w:val="BodyText"/>
        <w:spacing w:after="120"/>
        <w:jc w:val="both"/>
        <w:rPr>
          <w:rFonts w:ascii="Helvetica" w:hAnsi="Helvetica" w:cs="Helvetica"/>
          <w:sz w:val="24"/>
          <w:szCs w:val="24"/>
        </w:rPr>
      </w:pPr>
      <w:r w:rsidRPr="00467B30">
        <w:rPr>
          <w:rFonts w:ascii="Helvetica" w:hAnsi="Helvetica" w:cs="Helvetica"/>
          <w:sz w:val="24"/>
          <w:szCs w:val="24"/>
        </w:rPr>
        <w:t xml:space="preserve">“ICAAP” means Internal Capital Adequacy Assessment Process. </w:t>
      </w:r>
    </w:p>
    <w:p w:rsidR="00467B30" w:rsidRDefault="00467B30" w:rsidP="005B706E">
      <w:pPr>
        <w:pStyle w:val="BodyText"/>
        <w:pageBreakBefore/>
        <w:spacing w:after="120"/>
        <w:ind w:left="924"/>
        <w:jc w:val="both"/>
        <w:rPr>
          <w:rFonts w:ascii="Helvetica" w:hAnsi="Helvetica" w:cs="Helvetica"/>
          <w:sz w:val="24"/>
          <w:szCs w:val="24"/>
        </w:rPr>
      </w:pPr>
      <w:r w:rsidRPr="00467B30">
        <w:rPr>
          <w:rFonts w:ascii="Helvetica" w:hAnsi="Helvetica" w:cs="Helvetica"/>
          <w:sz w:val="24"/>
          <w:szCs w:val="24"/>
        </w:rPr>
        <w:lastRenderedPageBreak/>
        <w:t>“Intangibles” means deferred acquisition costs, deferred tax assets, capitalised software and goodwill from the Motor Accidents (Compensation) Commission’s financial accounts.</w:t>
      </w:r>
    </w:p>
    <w:p w:rsidR="005B706E" w:rsidRPr="005B706E" w:rsidRDefault="005B706E" w:rsidP="005B706E">
      <w:pPr>
        <w:pStyle w:val="BodyText"/>
        <w:spacing w:after="120"/>
        <w:ind w:left="924"/>
        <w:jc w:val="both"/>
        <w:rPr>
          <w:rFonts w:ascii="Helvetica" w:hAnsi="Helvetica" w:cs="Helvetica"/>
          <w:sz w:val="24"/>
          <w:szCs w:val="24"/>
        </w:rPr>
      </w:pPr>
      <w:r w:rsidRPr="005B706E">
        <w:rPr>
          <w:rFonts w:ascii="Helvetica" w:hAnsi="Helvetica" w:cs="Helvetica"/>
          <w:sz w:val="24"/>
          <w:szCs w:val="24"/>
        </w:rPr>
        <w:t>“Investment Risk Charge” means the charge calculated using the following formula:</w:t>
      </w:r>
    </w:p>
    <w:p w:rsidR="00D90D81" w:rsidRDefault="00467B30" w:rsidP="005B706E">
      <w:pPr>
        <w:pStyle w:val="BodyText"/>
        <w:spacing w:after="120"/>
        <w:jc w:val="both"/>
        <w:rPr>
          <w:rFonts w:ascii="Helvetica" w:hAnsi="Helvetica" w:cs="Helvetica"/>
          <w:sz w:val="24"/>
          <w:szCs w:val="24"/>
        </w:rPr>
      </w:pPr>
      <w:r w:rsidRPr="00467B30">
        <w:rPr>
          <w:rFonts w:ascii="Helvetica" w:hAnsi="Helvetica" w:cs="Helvetica"/>
          <w:sz w:val="24"/>
          <w:szCs w:val="24"/>
        </w:rPr>
        <w:t>“Investment Risk Charge” means the charge calculated using the following formula:</w:t>
      </w:r>
    </w:p>
    <w:p w:rsidR="006909C4" w:rsidRDefault="00A537F1" w:rsidP="00CA5A61">
      <w:pPr>
        <w:ind w:left="924"/>
      </w:pPr>
      <w:r>
        <w:rPr>
          <w:rFonts w:cs="Helvetica"/>
          <w:szCs w:val="24"/>
        </w:rPr>
        <w:t>Growth Assets x</w:t>
      </w:r>
      <w:r w:rsidR="00A95C0C">
        <w:rPr>
          <w:rFonts w:cs="Helvetica"/>
          <w:szCs w:val="24"/>
        </w:rPr>
        <w:t xml:space="preserve"> </w:t>
      </w:r>
      <m:oMath>
        <m:sSup>
          <m:sSupPr>
            <m:ctrlPr>
              <w:rPr>
                <w:rFonts w:ascii="Cambria Math" w:hAnsi="Cambria Math" w:cs="Arial"/>
                <w:i/>
                <w:sz w:val="22"/>
              </w:rPr>
            </m:ctrlPr>
          </m:sSupPr>
          <m:e>
            <m:d>
              <m:dPr>
                <m:begChr m:val=""/>
                <m:ctrlPr>
                  <w:rPr>
                    <w:rFonts w:ascii="Cambria Math" w:hAnsi="Cambria Math" w:cs="Arial"/>
                    <w:i/>
                    <w:sz w:val="22"/>
                  </w:rPr>
                </m:ctrlPr>
              </m:dPr>
              <m:e>
                <m:d>
                  <m:dPr>
                    <m:endChr m:val=""/>
                    <m:ctrlPr>
                      <w:rPr>
                        <w:rFonts w:ascii="Cambria Math" w:hAnsi="Cambria Math" w:cs="Arial"/>
                        <w:i/>
                        <w:sz w:val="22"/>
                      </w:rPr>
                    </m:ctrlPr>
                  </m:dPr>
                  <m:e>
                    <m:r>
                      <w:rPr>
                        <w:rFonts w:ascii="Cambria Math" w:hAnsi="Cambria Math" w:cs="Arial"/>
                        <w:sz w:val="22"/>
                      </w:rPr>
                      <m:t xml:space="preserve">1 – </m:t>
                    </m:r>
                    <m:f>
                      <m:fPr>
                        <m:ctrlPr>
                          <w:rPr>
                            <w:rFonts w:ascii="Cambria Math" w:hAnsi="Cambria Math" w:cs="Arial"/>
                            <w:i/>
                            <w:sz w:val="22"/>
                          </w:rPr>
                        </m:ctrlPr>
                      </m:fPr>
                      <m:num>
                        <m:r>
                          <w:rPr>
                            <w:rFonts w:ascii="Cambria Math" w:hAnsi="Cambria Math" w:cs="Arial"/>
                            <w:sz w:val="22"/>
                          </w:rPr>
                          <m:t>ASX200 Dividend Yield</m:t>
                        </m:r>
                      </m:num>
                      <m:den>
                        <m:r>
                          <w:rPr>
                            <w:rFonts w:ascii="Cambria Math" w:hAnsi="Cambria Math" w:cs="Arial"/>
                            <w:sz w:val="22"/>
                          </w:rPr>
                          <m:t>ASX200 Divident Yield+1.5%</m:t>
                        </m:r>
                      </m:den>
                    </m:f>
                  </m:e>
                </m:d>
              </m:e>
            </m:d>
            <m:r>
              <w:rPr>
                <w:rFonts w:ascii="Cambria Math" w:hAnsi="Cambria Math" w:cs="Arial"/>
                <w:sz w:val="22"/>
              </w:rPr>
              <m:t xml:space="preserve"> X (1 –Diversification Benefit)</m:t>
            </m:r>
          </m:e>
          <m:sup/>
        </m:sSup>
      </m:oMath>
    </w:p>
    <w:p w:rsidR="00467B30" w:rsidRPr="00467B30" w:rsidRDefault="00467B30" w:rsidP="005B706E">
      <w:pPr>
        <w:pStyle w:val="BodyText"/>
        <w:spacing w:after="120"/>
        <w:rPr>
          <w:rFonts w:ascii="Helvetica" w:hAnsi="Helvetica" w:cs="Helvetica"/>
          <w:sz w:val="24"/>
          <w:szCs w:val="24"/>
        </w:rPr>
      </w:pPr>
      <w:r w:rsidRPr="00467B30">
        <w:rPr>
          <w:rFonts w:ascii="Helvetica" w:hAnsi="Helvetica" w:cs="Helvetica"/>
          <w:sz w:val="24"/>
          <w:szCs w:val="24"/>
        </w:rPr>
        <w:t>“MAC Fund” means the Motor Accidents (Compensation) Commission</w:t>
      </w:r>
      <w:r w:rsidR="00FA0CBD">
        <w:rPr>
          <w:rFonts w:ascii="Helvetica" w:hAnsi="Helvetica" w:cs="Helvetica"/>
          <w:sz w:val="24"/>
          <w:szCs w:val="24"/>
        </w:rPr>
        <w:t xml:space="preserve"> </w:t>
      </w:r>
      <w:r w:rsidRPr="00467B30">
        <w:rPr>
          <w:rFonts w:ascii="Helvetica" w:hAnsi="Helvetica" w:cs="Helvetica"/>
          <w:sz w:val="24"/>
          <w:szCs w:val="24"/>
        </w:rPr>
        <w:t>Fund.</w:t>
      </w:r>
      <w:bookmarkStart w:id="4" w:name="_GoBack"/>
      <w:bookmarkEnd w:id="4"/>
    </w:p>
    <w:p w:rsidR="00467B30" w:rsidRPr="00467B30" w:rsidRDefault="00467B30" w:rsidP="005B706E">
      <w:pPr>
        <w:pStyle w:val="BodyText"/>
        <w:spacing w:after="120"/>
        <w:jc w:val="both"/>
        <w:rPr>
          <w:rFonts w:ascii="Helvetica" w:hAnsi="Helvetica" w:cs="Helvetica"/>
          <w:sz w:val="24"/>
          <w:szCs w:val="24"/>
        </w:rPr>
      </w:pPr>
      <w:r w:rsidRPr="00467B30">
        <w:rPr>
          <w:rFonts w:ascii="Helvetica" w:hAnsi="Helvetica" w:cs="Helvetica"/>
          <w:sz w:val="24"/>
          <w:szCs w:val="24"/>
        </w:rPr>
        <w:t xml:space="preserve">“MAC Business” means the part of the business that relates to administration of the motor accident compensation scheme established by the </w:t>
      </w:r>
      <w:r w:rsidRPr="00467B30">
        <w:rPr>
          <w:rFonts w:ascii="Helvetica" w:hAnsi="Helvetica" w:cs="Helvetica"/>
          <w:i/>
          <w:sz w:val="24"/>
          <w:szCs w:val="24"/>
        </w:rPr>
        <w:t>Motor</w:t>
      </w:r>
      <w:r w:rsidR="005B706E">
        <w:rPr>
          <w:rFonts w:ascii="Helvetica" w:hAnsi="Helvetica" w:cs="Helvetica"/>
          <w:i/>
          <w:sz w:val="24"/>
          <w:szCs w:val="24"/>
        </w:rPr>
        <w:t> </w:t>
      </w:r>
      <w:r w:rsidRPr="00467B30">
        <w:rPr>
          <w:rFonts w:ascii="Helvetica" w:hAnsi="Helvetica" w:cs="Helvetica"/>
          <w:i/>
          <w:sz w:val="24"/>
          <w:szCs w:val="24"/>
        </w:rPr>
        <w:t>Accidents (Compensation) Act</w:t>
      </w:r>
      <w:r w:rsidRPr="00467B30">
        <w:rPr>
          <w:rFonts w:ascii="Helvetica" w:hAnsi="Helvetica" w:cs="Helvetica"/>
          <w:iCs/>
          <w:sz w:val="24"/>
          <w:szCs w:val="24"/>
        </w:rPr>
        <w:t>, the Motor Accidents (Compensation) Fund</w:t>
      </w:r>
      <w:r w:rsidRPr="00467B30">
        <w:rPr>
          <w:rFonts w:ascii="Helvetica" w:hAnsi="Helvetica" w:cs="Helvetica"/>
          <w:sz w:val="24"/>
          <w:szCs w:val="24"/>
        </w:rPr>
        <w:t xml:space="preserve"> and any other related matters.</w:t>
      </w:r>
    </w:p>
    <w:p w:rsidR="00467B30" w:rsidRPr="00467B30" w:rsidRDefault="00467B30" w:rsidP="005B706E">
      <w:pPr>
        <w:pStyle w:val="BodyText"/>
        <w:spacing w:after="120"/>
        <w:jc w:val="both"/>
        <w:rPr>
          <w:rFonts w:ascii="Helvetica" w:hAnsi="Helvetica" w:cs="Helvetica"/>
          <w:sz w:val="24"/>
          <w:szCs w:val="24"/>
        </w:rPr>
      </w:pPr>
      <w:r w:rsidRPr="00467B30">
        <w:rPr>
          <w:rFonts w:ascii="Helvetica" w:hAnsi="Helvetica" w:cs="Helvetica"/>
          <w:sz w:val="24"/>
          <w:szCs w:val="24"/>
        </w:rPr>
        <w:t>“Net Assets” means the net assets from the financial accounts.</w:t>
      </w:r>
    </w:p>
    <w:p w:rsidR="00467B30" w:rsidRPr="00467B30" w:rsidRDefault="00467B30" w:rsidP="005B706E">
      <w:pPr>
        <w:pStyle w:val="BodyText"/>
        <w:spacing w:after="120"/>
        <w:jc w:val="both"/>
        <w:rPr>
          <w:rFonts w:ascii="Helvetica" w:hAnsi="Helvetica" w:cs="Helvetica"/>
          <w:sz w:val="24"/>
          <w:szCs w:val="24"/>
        </w:rPr>
      </w:pPr>
      <w:r w:rsidRPr="00467B30">
        <w:rPr>
          <w:rFonts w:ascii="Helvetica" w:hAnsi="Helvetica" w:cs="Helvetica"/>
          <w:sz w:val="24"/>
          <w:szCs w:val="24"/>
        </w:rPr>
        <w:t xml:space="preserve">“Prudential Standards” means the prudential standards and requirements that must be applied by the Commission in relation to the MAC business or relate to the performance of the Commission’s functions in relation to the MAC business as set out in clauses </w:t>
      </w:r>
      <w:r w:rsidRPr="00467B30">
        <w:rPr>
          <w:rFonts w:ascii="Helvetica" w:hAnsi="Helvetica" w:cs="Helvetica"/>
          <w:sz w:val="24"/>
          <w:szCs w:val="24"/>
        </w:rPr>
        <w:fldChar w:fldCharType="begin"/>
      </w:r>
      <w:r w:rsidRPr="00467B30">
        <w:rPr>
          <w:rFonts w:ascii="Helvetica" w:hAnsi="Helvetica" w:cs="Helvetica"/>
          <w:sz w:val="24"/>
          <w:szCs w:val="24"/>
        </w:rPr>
        <w:instrText xml:space="preserve"> REF _Ref451845058 \r \h  \* MERGEFORMAT </w:instrText>
      </w:r>
      <w:r w:rsidRPr="00467B30">
        <w:rPr>
          <w:rFonts w:ascii="Helvetica" w:hAnsi="Helvetica" w:cs="Helvetica"/>
          <w:sz w:val="24"/>
          <w:szCs w:val="24"/>
        </w:rPr>
      </w:r>
      <w:r w:rsidRPr="00467B30">
        <w:rPr>
          <w:rFonts w:ascii="Helvetica" w:hAnsi="Helvetica" w:cs="Helvetica"/>
          <w:sz w:val="24"/>
          <w:szCs w:val="24"/>
        </w:rPr>
        <w:fldChar w:fldCharType="separate"/>
      </w:r>
      <w:r w:rsidR="00FA0CBD">
        <w:rPr>
          <w:rFonts w:ascii="Helvetica" w:hAnsi="Helvetica" w:cs="Helvetica"/>
          <w:sz w:val="24"/>
          <w:szCs w:val="24"/>
        </w:rPr>
        <w:t>2</w:t>
      </w:r>
      <w:r w:rsidRPr="00467B30">
        <w:rPr>
          <w:rFonts w:ascii="Helvetica" w:hAnsi="Helvetica" w:cs="Helvetica"/>
          <w:sz w:val="24"/>
          <w:szCs w:val="24"/>
        </w:rPr>
        <w:fldChar w:fldCharType="end"/>
      </w:r>
      <w:r w:rsidRPr="00467B30">
        <w:rPr>
          <w:rFonts w:ascii="Helvetica" w:hAnsi="Helvetica" w:cs="Helvetica"/>
          <w:sz w:val="24"/>
          <w:szCs w:val="24"/>
        </w:rPr>
        <w:t>-</w:t>
      </w:r>
      <w:r w:rsidRPr="00467B30">
        <w:rPr>
          <w:rFonts w:ascii="Helvetica" w:hAnsi="Helvetica" w:cs="Helvetica"/>
          <w:sz w:val="24"/>
          <w:szCs w:val="24"/>
        </w:rPr>
        <w:fldChar w:fldCharType="begin"/>
      </w:r>
      <w:r w:rsidRPr="00467B30">
        <w:rPr>
          <w:rFonts w:ascii="Helvetica" w:hAnsi="Helvetica" w:cs="Helvetica"/>
          <w:sz w:val="24"/>
          <w:szCs w:val="24"/>
        </w:rPr>
        <w:instrText xml:space="preserve"> REF _Ref451847706 \r \h  \* MERGEFORMAT </w:instrText>
      </w:r>
      <w:r w:rsidRPr="00467B30">
        <w:rPr>
          <w:rFonts w:ascii="Helvetica" w:hAnsi="Helvetica" w:cs="Helvetica"/>
          <w:sz w:val="24"/>
          <w:szCs w:val="24"/>
        </w:rPr>
      </w:r>
      <w:r w:rsidRPr="00467B30">
        <w:rPr>
          <w:rFonts w:ascii="Helvetica" w:hAnsi="Helvetica" w:cs="Helvetica"/>
          <w:sz w:val="24"/>
          <w:szCs w:val="24"/>
        </w:rPr>
        <w:fldChar w:fldCharType="separate"/>
      </w:r>
      <w:r w:rsidR="00FA0CBD">
        <w:rPr>
          <w:rFonts w:ascii="Helvetica" w:hAnsi="Helvetica" w:cs="Helvetica"/>
          <w:sz w:val="24"/>
          <w:szCs w:val="24"/>
        </w:rPr>
        <w:t>4</w:t>
      </w:r>
      <w:r w:rsidRPr="00467B30">
        <w:rPr>
          <w:rFonts w:ascii="Helvetica" w:hAnsi="Helvetica" w:cs="Helvetica"/>
          <w:sz w:val="24"/>
          <w:szCs w:val="24"/>
        </w:rPr>
        <w:fldChar w:fldCharType="end"/>
      </w:r>
      <w:r w:rsidRPr="00467B30">
        <w:rPr>
          <w:rFonts w:ascii="Helvetica" w:hAnsi="Helvetica" w:cs="Helvetica"/>
          <w:sz w:val="24"/>
          <w:szCs w:val="24"/>
        </w:rPr>
        <w:t xml:space="preserve"> of this Determination (subject to the qualifications, modifications, clarifications and additions as set out in Schedule 1). </w:t>
      </w:r>
    </w:p>
    <w:p w:rsidR="00467B30" w:rsidRPr="00467B30" w:rsidRDefault="00467B30" w:rsidP="005B706E">
      <w:pPr>
        <w:pStyle w:val="Heading1"/>
        <w:widowControl/>
        <w:numPr>
          <w:ilvl w:val="0"/>
          <w:numId w:val="40"/>
        </w:numPr>
        <w:spacing w:before="0" w:after="120"/>
        <w:jc w:val="both"/>
        <w:rPr>
          <w:rFonts w:cs="Helvetica"/>
          <w:sz w:val="24"/>
          <w:szCs w:val="24"/>
        </w:rPr>
      </w:pPr>
      <w:bookmarkStart w:id="5" w:name="_Ref451845058"/>
      <w:r w:rsidRPr="00467B30">
        <w:rPr>
          <w:rFonts w:cs="Helvetica"/>
          <w:sz w:val="24"/>
          <w:szCs w:val="24"/>
        </w:rPr>
        <w:t>APRA Standards</w:t>
      </w:r>
      <w:bookmarkEnd w:id="5"/>
      <w:r w:rsidRPr="00467B30">
        <w:rPr>
          <w:rFonts w:cs="Helvetica"/>
          <w:sz w:val="24"/>
          <w:szCs w:val="24"/>
        </w:rPr>
        <w:t xml:space="preserve"> </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 xml:space="preserve">Subject to this Determination, clause </w:t>
      </w:r>
      <w:r w:rsidRPr="00467B30">
        <w:rPr>
          <w:rFonts w:cs="Helvetica"/>
          <w:sz w:val="24"/>
          <w:szCs w:val="24"/>
        </w:rPr>
        <w:fldChar w:fldCharType="begin"/>
      </w:r>
      <w:r w:rsidRPr="00467B30">
        <w:rPr>
          <w:rFonts w:cs="Helvetica"/>
          <w:sz w:val="24"/>
          <w:szCs w:val="24"/>
        </w:rPr>
        <w:instrText xml:space="preserve"> REF _Ref451845058 \r \h  \* MERGEFORMAT </w:instrText>
      </w:r>
      <w:r w:rsidRPr="00467B30">
        <w:rPr>
          <w:rFonts w:cs="Helvetica"/>
          <w:sz w:val="24"/>
          <w:szCs w:val="24"/>
        </w:rPr>
      </w:r>
      <w:r w:rsidRPr="00467B30">
        <w:rPr>
          <w:rFonts w:cs="Helvetica"/>
          <w:sz w:val="24"/>
          <w:szCs w:val="24"/>
        </w:rPr>
        <w:fldChar w:fldCharType="separate"/>
      </w:r>
      <w:r w:rsidR="00FA0CBD">
        <w:rPr>
          <w:rFonts w:cs="Helvetica"/>
          <w:sz w:val="24"/>
          <w:szCs w:val="24"/>
        </w:rPr>
        <w:t>2</w:t>
      </w:r>
      <w:r w:rsidRPr="00467B30">
        <w:rPr>
          <w:rFonts w:cs="Helvetica"/>
          <w:sz w:val="24"/>
          <w:szCs w:val="24"/>
        </w:rPr>
        <w:fldChar w:fldCharType="end"/>
      </w:r>
      <w:r w:rsidRPr="00467B30">
        <w:rPr>
          <w:rFonts w:cs="Helvetica"/>
          <w:sz w:val="24"/>
          <w:szCs w:val="24"/>
        </w:rPr>
        <w:fldChar w:fldCharType="begin"/>
      </w:r>
      <w:r w:rsidRPr="00467B30">
        <w:rPr>
          <w:rFonts w:cs="Helvetica"/>
          <w:sz w:val="24"/>
          <w:szCs w:val="24"/>
        </w:rPr>
        <w:instrText xml:space="preserve"> REF _Ref451845064 \r \h  \* MERGEFORMAT </w:instrText>
      </w:r>
      <w:r w:rsidRPr="00467B30">
        <w:rPr>
          <w:rFonts w:cs="Helvetica"/>
          <w:sz w:val="24"/>
          <w:szCs w:val="24"/>
        </w:rPr>
      </w:r>
      <w:r w:rsidRPr="00467B30">
        <w:rPr>
          <w:rFonts w:cs="Helvetica"/>
          <w:sz w:val="24"/>
          <w:szCs w:val="24"/>
        </w:rPr>
        <w:fldChar w:fldCharType="separate"/>
      </w:r>
      <w:r w:rsidR="00FA0CBD">
        <w:rPr>
          <w:rFonts w:cs="Helvetica"/>
          <w:sz w:val="24"/>
          <w:szCs w:val="24"/>
        </w:rPr>
        <w:t>(b)</w:t>
      </w:r>
      <w:r w:rsidRPr="00467B30">
        <w:rPr>
          <w:rFonts w:cs="Helvetica"/>
          <w:sz w:val="24"/>
          <w:szCs w:val="24"/>
        </w:rPr>
        <w:fldChar w:fldCharType="end"/>
      </w:r>
      <w:r w:rsidRPr="00467B30">
        <w:rPr>
          <w:rFonts w:cs="Helvetica"/>
          <w:sz w:val="24"/>
          <w:szCs w:val="24"/>
        </w:rPr>
        <w:t xml:space="preserve"> below and qualifications, modifications, clarifications or additions as set out in Schedule 1, the following APRA Standards apply to the Commission:</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GPS 110 Capital Adequacy;</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GPS 230 Reinsurance Management;</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GPS 310 Audit and Related matters;</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GPS 320 Actuarial and Related matters;</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CPS 220 Risk management;</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CPS 232 Business Continuity Management; and</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CPS 520 Fit and Proper.</w:t>
      </w:r>
    </w:p>
    <w:p w:rsidR="00467B30" w:rsidRPr="00467B30" w:rsidRDefault="00467B30" w:rsidP="005B706E">
      <w:pPr>
        <w:pStyle w:val="Heading2"/>
        <w:widowControl/>
        <w:numPr>
          <w:ilvl w:val="1"/>
          <w:numId w:val="40"/>
        </w:numPr>
        <w:spacing w:before="0" w:after="120"/>
        <w:jc w:val="both"/>
        <w:rPr>
          <w:rFonts w:cs="Helvetica"/>
          <w:sz w:val="24"/>
          <w:szCs w:val="24"/>
        </w:rPr>
      </w:pPr>
      <w:bookmarkStart w:id="6" w:name="_Ref451845064"/>
      <w:r w:rsidRPr="00467B30">
        <w:rPr>
          <w:rFonts w:cs="Helvetica"/>
          <w:sz w:val="24"/>
          <w:szCs w:val="24"/>
        </w:rPr>
        <w:t>In applying the APRA Standards above, the Commission must have regard to the following matters:</w:t>
      </w:r>
      <w:bookmarkEnd w:id="6"/>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 xml:space="preserve">References to, and obligations of, an ADI do not apply. </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References to an insurer, a general insurer or a regulated institution are to be read as references to the Commission in its conduct of the MAC business to which the Standard applies.</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References to APRA are to be read as references to the Treasurer.</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lastRenderedPageBreak/>
        <w:t>References to directors of an insurer are to be read as references to the Commissioner of the Commission.</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References to the board (or Board) in relation to an insurer are to be read as references to the Commissioner of the Commission.</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bookmarkStart w:id="7" w:name="_Ref451867442"/>
      <w:r w:rsidRPr="00467B30">
        <w:rPr>
          <w:rFonts w:cs="Helvetica"/>
          <w:b w:val="0"/>
          <w:sz w:val="24"/>
          <w:szCs w:val="24"/>
        </w:rPr>
        <w:t>References to "Appointed Auditor" are to be read as references to the Auditor-General.  For the purposes of the APRA Standards the Auditor-General is to be taken to be independent, to be fit and proper, and to have no conflict of interest.  Any provision of the APRA</w:t>
      </w:r>
      <w:r w:rsidR="005B706E">
        <w:rPr>
          <w:rFonts w:cs="Helvetica"/>
          <w:b w:val="0"/>
          <w:sz w:val="24"/>
          <w:szCs w:val="24"/>
        </w:rPr>
        <w:t> </w:t>
      </w:r>
      <w:r w:rsidRPr="00467B30">
        <w:rPr>
          <w:rFonts w:cs="Helvetica"/>
          <w:b w:val="0"/>
          <w:sz w:val="24"/>
          <w:szCs w:val="24"/>
        </w:rPr>
        <w:t>Standards imposing obligations or requirements on the Appointed Auditor is not directly binding upon the Auditor-General, however the Commission must make the necessary arrangements with the Auditor-General to enable the Auditor-General to perform, and to ensure that the Auditor-General performs, the role and requirements contemplated by the APRA Standards to be undertaken and performed by the Appointed Auditor.</w:t>
      </w:r>
      <w:bookmarkEnd w:id="7"/>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References to "Appointed Actuary" are to be read as references to an actuary appointed by the Commission and approved by the Treasurer.  Any provision of the APRA Standards imposing obligations or requirements on the Appointed Actuary is not directly binding upon the Appointed Actuary, however the Commission must make the necessary arrangements with the Appointed Actuary to enable the Appointed Actuary to perform, and to ensure that the Appointed Actuary performs, the role and requirements contemplated by the APRA Standards to be undertaken and performed by the Appointed Actuary.</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The Commission must submit to the Treasurer all certificates and reports required to be prepared by its Appointed Auditor and Appointed Actuary under the APRA Standards.  Reports other than those relating to a special purpose review must be submitted on or before the day that the Commission’s yearly statutory accounts are required to be given to the Treasurer. The submission of a certificate or report by the Commission to the Under Treasurer qualifies as a submission of that report or certificate to the Treasurer.</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Where an APRA Standard allows for the use of a standard approach for compliance, based on limited complexity or scale of the insurer, rather than a tailored approach, the Commission</w:t>
      </w:r>
      <w:r w:rsidRPr="00467B30">
        <w:rPr>
          <w:rFonts w:cs="Helvetica"/>
          <w:sz w:val="24"/>
          <w:szCs w:val="24"/>
        </w:rPr>
        <w:t xml:space="preserve"> </w:t>
      </w:r>
      <w:r w:rsidRPr="00467B30">
        <w:rPr>
          <w:rFonts w:cs="Helvetica"/>
          <w:b w:val="0"/>
          <w:sz w:val="24"/>
          <w:szCs w:val="24"/>
        </w:rPr>
        <w:t xml:space="preserve">may utilise that standard approach and, where applicable, note such utilisation in the relevant internal policy. </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 xml:space="preserve">Where an APRA standard requires an action to be done annually, it will be taken to have been done in compliance with the requirement if done at any time during a financial year, notwithstanding that more than 12 months may have elapsed since the action was last done.  </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To the extent of any inconsistency between the APRA Standards and the Act, the Regulations, this Determination or any other instrument of a legislative or administrative character made under the Act, the provisions of that instrument shall prevail.</w:t>
      </w:r>
    </w:p>
    <w:p w:rsidR="00467B30" w:rsidRPr="00467B30" w:rsidRDefault="00467B30" w:rsidP="005B706E">
      <w:pPr>
        <w:pStyle w:val="Heading1"/>
        <w:widowControl/>
        <w:numPr>
          <w:ilvl w:val="0"/>
          <w:numId w:val="40"/>
        </w:numPr>
        <w:spacing w:before="0" w:after="120"/>
        <w:jc w:val="both"/>
        <w:rPr>
          <w:rFonts w:cs="Helvetica"/>
          <w:sz w:val="24"/>
          <w:szCs w:val="24"/>
        </w:rPr>
      </w:pPr>
      <w:r w:rsidRPr="00467B30">
        <w:rPr>
          <w:rFonts w:cs="Helvetica"/>
          <w:sz w:val="24"/>
          <w:szCs w:val="24"/>
        </w:rPr>
        <w:lastRenderedPageBreak/>
        <w:t xml:space="preserve">Capital management and solvency </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 xml:space="preserve">The Internal Capital Adequacy Assessment Process (ICAAP) summary prepared by the Commission under APRA Standard GPS 110 Capital Adequacy shall be based on a target solvency range of 110% to 150% as set out in Clause 3(b). </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The target solvency range shall be determined using the ratio of capital over liabilities plus 100%, where the components of capital and liabilities are defined below.</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Capital is determined as:</w:t>
      </w:r>
    </w:p>
    <w:p w:rsidR="00467B30" w:rsidRPr="00467B30" w:rsidRDefault="00467B30" w:rsidP="005B706E">
      <w:pPr>
        <w:pStyle w:val="Heading4"/>
        <w:keepNext w:val="0"/>
        <w:keepLines w:val="0"/>
        <w:widowControl/>
        <w:numPr>
          <w:ilvl w:val="3"/>
          <w:numId w:val="40"/>
        </w:numPr>
        <w:spacing w:before="0" w:after="120"/>
        <w:jc w:val="both"/>
        <w:rPr>
          <w:rFonts w:cs="Helvetica"/>
          <w:b w:val="0"/>
          <w:szCs w:val="24"/>
        </w:rPr>
      </w:pPr>
      <w:r w:rsidRPr="00467B30">
        <w:rPr>
          <w:rFonts w:cs="Helvetica"/>
          <w:b w:val="0"/>
          <w:szCs w:val="24"/>
        </w:rPr>
        <w:t>Net Assets; less</w:t>
      </w:r>
    </w:p>
    <w:p w:rsidR="00467B30" w:rsidRPr="00467B30" w:rsidRDefault="00467B30" w:rsidP="005B706E">
      <w:pPr>
        <w:pStyle w:val="Heading4"/>
        <w:keepNext w:val="0"/>
        <w:keepLines w:val="0"/>
        <w:widowControl/>
        <w:numPr>
          <w:ilvl w:val="3"/>
          <w:numId w:val="40"/>
        </w:numPr>
        <w:spacing w:before="0" w:after="120"/>
        <w:jc w:val="both"/>
        <w:rPr>
          <w:rFonts w:cs="Helvetica"/>
          <w:b w:val="0"/>
          <w:szCs w:val="24"/>
        </w:rPr>
      </w:pPr>
      <w:r w:rsidRPr="00467B30">
        <w:rPr>
          <w:rFonts w:cs="Helvetica"/>
          <w:b w:val="0"/>
          <w:szCs w:val="24"/>
        </w:rPr>
        <w:t>Intangibles; plus</w:t>
      </w:r>
    </w:p>
    <w:p w:rsidR="00467B30" w:rsidRPr="00467B30" w:rsidRDefault="00467B30" w:rsidP="005B706E">
      <w:pPr>
        <w:pStyle w:val="Heading4"/>
        <w:keepNext w:val="0"/>
        <w:keepLines w:val="0"/>
        <w:widowControl/>
        <w:numPr>
          <w:ilvl w:val="3"/>
          <w:numId w:val="40"/>
        </w:numPr>
        <w:spacing w:before="0" w:after="120"/>
        <w:jc w:val="both"/>
        <w:rPr>
          <w:rFonts w:cs="Helvetica"/>
          <w:b w:val="0"/>
          <w:szCs w:val="24"/>
        </w:rPr>
      </w:pPr>
      <w:r w:rsidRPr="00467B30">
        <w:rPr>
          <w:rFonts w:cs="Helvetica"/>
          <w:b w:val="0"/>
          <w:szCs w:val="24"/>
        </w:rPr>
        <w:t>Economic Lability Margin; less</w:t>
      </w:r>
    </w:p>
    <w:p w:rsidR="00467B30" w:rsidRPr="00467B30" w:rsidRDefault="00467B30" w:rsidP="005B706E">
      <w:pPr>
        <w:pStyle w:val="Heading4"/>
        <w:keepNext w:val="0"/>
        <w:keepLines w:val="0"/>
        <w:widowControl/>
        <w:numPr>
          <w:ilvl w:val="3"/>
          <w:numId w:val="40"/>
        </w:numPr>
        <w:spacing w:before="0" w:after="120"/>
        <w:jc w:val="both"/>
        <w:rPr>
          <w:rFonts w:cs="Helvetica"/>
          <w:b w:val="0"/>
          <w:szCs w:val="24"/>
        </w:rPr>
      </w:pPr>
      <w:r w:rsidRPr="00467B30">
        <w:rPr>
          <w:rFonts w:cs="Helvetica"/>
          <w:b w:val="0"/>
          <w:szCs w:val="24"/>
        </w:rPr>
        <w:t>Investment Risk Charge; less</w:t>
      </w:r>
    </w:p>
    <w:p w:rsidR="00467B30" w:rsidRPr="00467B30" w:rsidRDefault="00467B30" w:rsidP="005B706E">
      <w:pPr>
        <w:pStyle w:val="Heading4"/>
        <w:keepNext w:val="0"/>
        <w:keepLines w:val="0"/>
        <w:widowControl/>
        <w:numPr>
          <w:ilvl w:val="3"/>
          <w:numId w:val="40"/>
        </w:numPr>
        <w:spacing w:before="0" w:after="120"/>
        <w:jc w:val="both"/>
        <w:rPr>
          <w:rFonts w:cs="Helvetica"/>
          <w:b w:val="0"/>
          <w:szCs w:val="24"/>
        </w:rPr>
      </w:pPr>
      <w:r w:rsidRPr="00467B30">
        <w:rPr>
          <w:rFonts w:cs="Helvetica"/>
          <w:b w:val="0"/>
          <w:szCs w:val="24"/>
        </w:rPr>
        <w:t>Catastrophe Risk Charge.</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Liabilities is determined as:</w:t>
      </w:r>
    </w:p>
    <w:p w:rsidR="00467B30" w:rsidRPr="00467B30" w:rsidRDefault="00467B30" w:rsidP="005B706E">
      <w:pPr>
        <w:pStyle w:val="Heading4"/>
        <w:keepNext w:val="0"/>
        <w:keepLines w:val="0"/>
        <w:widowControl/>
        <w:numPr>
          <w:ilvl w:val="3"/>
          <w:numId w:val="40"/>
        </w:numPr>
        <w:spacing w:before="0" w:after="120"/>
        <w:jc w:val="both"/>
        <w:rPr>
          <w:rFonts w:cs="Helvetica"/>
          <w:b w:val="0"/>
          <w:szCs w:val="24"/>
        </w:rPr>
      </w:pPr>
      <w:r w:rsidRPr="00467B30">
        <w:rPr>
          <w:rFonts w:cs="Helvetica"/>
          <w:b w:val="0"/>
          <w:szCs w:val="24"/>
        </w:rPr>
        <w:t>Gross Outstanding Claims; plus</w:t>
      </w:r>
    </w:p>
    <w:p w:rsidR="00467B30" w:rsidRPr="00467B30" w:rsidRDefault="00467B30" w:rsidP="005B706E">
      <w:pPr>
        <w:pStyle w:val="Heading4"/>
        <w:keepNext w:val="0"/>
        <w:keepLines w:val="0"/>
        <w:widowControl/>
        <w:numPr>
          <w:ilvl w:val="3"/>
          <w:numId w:val="40"/>
        </w:numPr>
        <w:spacing w:before="0" w:after="120"/>
        <w:jc w:val="both"/>
        <w:rPr>
          <w:rFonts w:cs="Helvetica"/>
          <w:szCs w:val="24"/>
        </w:rPr>
      </w:pPr>
      <w:r w:rsidRPr="00467B30">
        <w:rPr>
          <w:rFonts w:cs="Helvetica"/>
          <w:b w:val="0"/>
          <w:szCs w:val="24"/>
        </w:rPr>
        <w:t>Gross Unearned Contribution</w:t>
      </w:r>
      <w:r w:rsidRPr="00467B30">
        <w:rPr>
          <w:rFonts w:cs="Helvetica"/>
          <w:szCs w:val="24"/>
        </w:rPr>
        <w:t>.</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 xml:space="preserve">The target solvency range shall be 110% - 150%. </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If the solvency falls below 110%, or is expected to fall below 110% in the near future then:</w:t>
      </w:r>
    </w:p>
    <w:p w:rsidR="00467B30" w:rsidRPr="00467B30" w:rsidRDefault="00467B30" w:rsidP="005B706E">
      <w:pPr>
        <w:pStyle w:val="Heading4"/>
        <w:keepNext w:val="0"/>
        <w:keepLines w:val="0"/>
        <w:widowControl/>
        <w:numPr>
          <w:ilvl w:val="3"/>
          <w:numId w:val="40"/>
        </w:numPr>
        <w:spacing w:before="0" w:after="120"/>
        <w:jc w:val="both"/>
        <w:rPr>
          <w:rFonts w:cs="Helvetica"/>
          <w:b w:val="0"/>
          <w:szCs w:val="24"/>
        </w:rPr>
      </w:pPr>
      <w:r w:rsidRPr="00467B30">
        <w:rPr>
          <w:rFonts w:cs="Helvetica"/>
          <w:b w:val="0"/>
          <w:szCs w:val="24"/>
        </w:rPr>
        <w:t>The Commissioner is required to inform the Minister at the earliest opportunity and outline the next steps.</w:t>
      </w:r>
    </w:p>
    <w:p w:rsidR="00467B30" w:rsidRPr="00467B30" w:rsidRDefault="00467B30" w:rsidP="005B706E">
      <w:pPr>
        <w:pStyle w:val="Heading4"/>
        <w:keepNext w:val="0"/>
        <w:keepLines w:val="0"/>
        <w:widowControl/>
        <w:numPr>
          <w:ilvl w:val="3"/>
          <w:numId w:val="40"/>
        </w:numPr>
        <w:spacing w:before="0" w:after="120"/>
        <w:jc w:val="both"/>
        <w:rPr>
          <w:rFonts w:cs="Helvetica"/>
          <w:b w:val="0"/>
          <w:szCs w:val="24"/>
        </w:rPr>
      </w:pPr>
      <w:r w:rsidRPr="00467B30">
        <w:rPr>
          <w:rFonts w:cs="Helvetica"/>
          <w:b w:val="0"/>
          <w:szCs w:val="24"/>
        </w:rPr>
        <w:t>The Commissioner is required, in consultation with the Department of Treasury and Finance, to develop and recommend to the Treasurer an action plan to return the scheme to within the target range within no more than five</w:t>
      </w:r>
      <w:r w:rsidR="00A1699F">
        <w:rPr>
          <w:rFonts w:cs="Helvetica"/>
          <w:b w:val="0"/>
          <w:szCs w:val="24"/>
        </w:rPr>
        <w:t> </w:t>
      </w:r>
      <w:r w:rsidRPr="00467B30">
        <w:rPr>
          <w:rFonts w:cs="Helvetica"/>
          <w:b w:val="0"/>
          <w:szCs w:val="24"/>
        </w:rPr>
        <w:t>years.</w:t>
      </w:r>
    </w:p>
    <w:p w:rsidR="00467B30" w:rsidRPr="00467B30" w:rsidRDefault="00467B30" w:rsidP="005B706E">
      <w:pPr>
        <w:pStyle w:val="Heading4"/>
        <w:keepNext w:val="0"/>
        <w:keepLines w:val="0"/>
        <w:widowControl/>
        <w:numPr>
          <w:ilvl w:val="3"/>
          <w:numId w:val="40"/>
        </w:numPr>
        <w:spacing w:before="0" w:after="120"/>
        <w:jc w:val="both"/>
        <w:rPr>
          <w:rFonts w:cs="Helvetica"/>
          <w:b w:val="0"/>
          <w:szCs w:val="24"/>
        </w:rPr>
      </w:pPr>
      <w:r w:rsidRPr="00467B30">
        <w:rPr>
          <w:rFonts w:cs="Helvetica"/>
          <w:b w:val="0"/>
          <w:szCs w:val="24"/>
        </w:rPr>
        <w:t>The Treasurer is required to consider the Commissioner’s recommendation and to agree with the Commissioner on an action plan.</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If the solvency is above 150%, or is expected to rise above 150% in the near future then:</w:t>
      </w:r>
    </w:p>
    <w:p w:rsidR="00467B30" w:rsidRPr="00467B30" w:rsidRDefault="00467B30" w:rsidP="005B706E">
      <w:pPr>
        <w:pStyle w:val="Heading4"/>
        <w:keepNext w:val="0"/>
        <w:keepLines w:val="0"/>
        <w:widowControl/>
        <w:numPr>
          <w:ilvl w:val="3"/>
          <w:numId w:val="40"/>
        </w:numPr>
        <w:spacing w:before="0" w:after="120"/>
        <w:jc w:val="both"/>
        <w:rPr>
          <w:rFonts w:cs="Helvetica"/>
          <w:b w:val="0"/>
          <w:szCs w:val="24"/>
        </w:rPr>
      </w:pPr>
      <w:r w:rsidRPr="00467B30">
        <w:rPr>
          <w:rFonts w:cs="Helvetica"/>
          <w:b w:val="0"/>
          <w:szCs w:val="24"/>
        </w:rPr>
        <w:t>The Commissioner is required to inform the Minister at the next regular report and outline the next steps.</w:t>
      </w:r>
    </w:p>
    <w:p w:rsidR="00467B30" w:rsidRPr="00467B30" w:rsidRDefault="00467B30" w:rsidP="005B706E">
      <w:pPr>
        <w:pStyle w:val="Heading4"/>
        <w:keepNext w:val="0"/>
        <w:keepLines w:val="0"/>
        <w:widowControl/>
        <w:numPr>
          <w:ilvl w:val="3"/>
          <w:numId w:val="40"/>
        </w:numPr>
        <w:spacing w:before="0" w:after="120"/>
        <w:jc w:val="both"/>
        <w:rPr>
          <w:rFonts w:cs="Helvetica"/>
          <w:b w:val="0"/>
          <w:szCs w:val="24"/>
        </w:rPr>
      </w:pPr>
      <w:r w:rsidRPr="00467B30">
        <w:rPr>
          <w:rFonts w:cs="Helvetica"/>
          <w:b w:val="0"/>
          <w:szCs w:val="24"/>
        </w:rPr>
        <w:t>The Commissioner is required, in consultation with the Department of Treasury and Finance, to develop and recommend to the Treasurer an action plan to return the scheme within the target range within no more than five years.</w:t>
      </w:r>
    </w:p>
    <w:p w:rsidR="00467B30" w:rsidRPr="00467B30" w:rsidRDefault="00467B30" w:rsidP="005B706E">
      <w:pPr>
        <w:pStyle w:val="Heading4"/>
        <w:keepNext w:val="0"/>
        <w:keepLines w:val="0"/>
        <w:widowControl/>
        <w:numPr>
          <w:ilvl w:val="3"/>
          <w:numId w:val="40"/>
        </w:numPr>
        <w:spacing w:before="0" w:after="120"/>
        <w:jc w:val="both"/>
        <w:rPr>
          <w:rFonts w:cs="Helvetica"/>
          <w:b w:val="0"/>
          <w:szCs w:val="24"/>
        </w:rPr>
      </w:pPr>
      <w:r w:rsidRPr="00467B30">
        <w:rPr>
          <w:rFonts w:cs="Helvetica"/>
          <w:b w:val="0"/>
          <w:szCs w:val="24"/>
        </w:rPr>
        <w:lastRenderedPageBreak/>
        <w:t>The Treasurer is required to consider the Commissioner’s recommendation and make a decision to act on any action to be taken.</w:t>
      </w:r>
    </w:p>
    <w:p w:rsidR="00467B30" w:rsidRPr="00467B30" w:rsidRDefault="00467B30" w:rsidP="005B706E">
      <w:pPr>
        <w:pStyle w:val="Heading1"/>
        <w:widowControl/>
        <w:numPr>
          <w:ilvl w:val="0"/>
          <w:numId w:val="40"/>
        </w:numPr>
        <w:spacing w:before="0" w:after="120"/>
        <w:jc w:val="both"/>
        <w:rPr>
          <w:rFonts w:cs="Helvetica"/>
          <w:sz w:val="24"/>
          <w:szCs w:val="24"/>
        </w:rPr>
      </w:pPr>
      <w:bookmarkStart w:id="8" w:name="_Ref451847706"/>
      <w:bookmarkStart w:id="9" w:name="_Ref451856922"/>
      <w:r w:rsidRPr="00467B30">
        <w:rPr>
          <w:rFonts w:cs="Helvetica"/>
          <w:sz w:val="24"/>
          <w:szCs w:val="24"/>
        </w:rPr>
        <w:t>Reporting</w:t>
      </w:r>
      <w:bookmarkEnd w:id="8"/>
      <w:bookmarkEnd w:id="9"/>
    </w:p>
    <w:p w:rsidR="00467B30" w:rsidRPr="00467B30" w:rsidRDefault="00467B30" w:rsidP="005B706E">
      <w:pPr>
        <w:pStyle w:val="Heading2"/>
        <w:widowControl/>
        <w:numPr>
          <w:ilvl w:val="1"/>
          <w:numId w:val="40"/>
        </w:numPr>
        <w:spacing w:before="0" w:after="120"/>
        <w:jc w:val="both"/>
        <w:rPr>
          <w:rFonts w:cs="Helvetica"/>
          <w:sz w:val="24"/>
          <w:szCs w:val="24"/>
        </w:rPr>
      </w:pPr>
      <w:bookmarkStart w:id="10" w:name="_Ref452971571"/>
      <w:r w:rsidRPr="00467B30">
        <w:rPr>
          <w:rFonts w:cs="Helvetica"/>
          <w:sz w:val="24"/>
          <w:szCs w:val="24"/>
        </w:rPr>
        <w:t>The Commission shall, not later than 6 weeks after the last day of March, September and December of each year or such longer period as the Treasurer, in writing, permits, lodge a report with the Treasurer relating to the 3 months preceding the last day of that March, September or December, as the case may be.</w:t>
      </w:r>
      <w:bookmarkEnd w:id="10"/>
    </w:p>
    <w:p w:rsidR="00467B30" w:rsidRPr="00467B30" w:rsidRDefault="00467B30" w:rsidP="005B706E">
      <w:pPr>
        <w:pStyle w:val="Heading2"/>
        <w:widowControl/>
        <w:numPr>
          <w:ilvl w:val="1"/>
          <w:numId w:val="40"/>
        </w:numPr>
        <w:spacing w:before="0" w:after="120"/>
        <w:jc w:val="both"/>
        <w:rPr>
          <w:rFonts w:cs="Helvetica"/>
          <w:sz w:val="24"/>
          <w:szCs w:val="24"/>
        </w:rPr>
      </w:pPr>
      <w:bookmarkStart w:id="11" w:name="_Ref451857142"/>
      <w:bookmarkStart w:id="12" w:name="_Ref452971574"/>
      <w:r w:rsidRPr="00467B30">
        <w:rPr>
          <w:rFonts w:cs="Helvetica"/>
          <w:sz w:val="24"/>
          <w:szCs w:val="24"/>
        </w:rPr>
        <w:t>The Commission shall, not later than 4 months after the last day of June of each financial year or such longer period as the Treasurer, in writing, permits, lodge a report with the Treasurer relating to the financial year preceding that last day of June, based on the audited financial information for that financial year.</w:t>
      </w:r>
      <w:bookmarkEnd w:id="11"/>
      <w:bookmarkEnd w:id="12"/>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 xml:space="preserve">Reports referred to in this clause </w:t>
      </w:r>
      <w:r w:rsidRPr="00467B30">
        <w:rPr>
          <w:rFonts w:cs="Helvetica"/>
          <w:sz w:val="24"/>
          <w:szCs w:val="24"/>
        </w:rPr>
        <w:fldChar w:fldCharType="begin"/>
      </w:r>
      <w:r w:rsidRPr="00467B30">
        <w:rPr>
          <w:rFonts w:cs="Helvetica"/>
          <w:sz w:val="24"/>
          <w:szCs w:val="24"/>
        </w:rPr>
        <w:instrText xml:space="preserve"> REF _Ref451856922 \r \h  \* MERGEFORMAT </w:instrText>
      </w:r>
      <w:r w:rsidRPr="00467B30">
        <w:rPr>
          <w:rFonts w:cs="Helvetica"/>
          <w:sz w:val="24"/>
          <w:szCs w:val="24"/>
        </w:rPr>
      </w:r>
      <w:r w:rsidRPr="00467B30">
        <w:rPr>
          <w:rFonts w:cs="Helvetica"/>
          <w:sz w:val="24"/>
          <w:szCs w:val="24"/>
        </w:rPr>
        <w:fldChar w:fldCharType="separate"/>
      </w:r>
      <w:r w:rsidR="00FA0CBD">
        <w:rPr>
          <w:rFonts w:cs="Helvetica"/>
          <w:sz w:val="24"/>
          <w:szCs w:val="24"/>
        </w:rPr>
        <w:t>4</w:t>
      </w:r>
      <w:r w:rsidRPr="00467B30">
        <w:rPr>
          <w:rFonts w:cs="Helvetica"/>
          <w:sz w:val="24"/>
          <w:szCs w:val="24"/>
        </w:rPr>
        <w:fldChar w:fldCharType="end"/>
      </w:r>
      <w:r w:rsidRPr="00467B30">
        <w:rPr>
          <w:rFonts w:cs="Helvetica"/>
          <w:sz w:val="24"/>
          <w:szCs w:val="24"/>
        </w:rPr>
        <w:fldChar w:fldCharType="begin"/>
      </w:r>
      <w:r w:rsidRPr="00467B30">
        <w:rPr>
          <w:rFonts w:cs="Helvetica"/>
          <w:sz w:val="24"/>
          <w:szCs w:val="24"/>
        </w:rPr>
        <w:instrText xml:space="preserve"> REF _Ref452971571 \r \h  \* MERGEFORMAT </w:instrText>
      </w:r>
      <w:r w:rsidRPr="00467B30">
        <w:rPr>
          <w:rFonts w:cs="Helvetica"/>
          <w:sz w:val="24"/>
          <w:szCs w:val="24"/>
        </w:rPr>
      </w:r>
      <w:r w:rsidRPr="00467B30">
        <w:rPr>
          <w:rFonts w:cs="Helvetica"/>
          <w:sz w:val="24"/>
          <w:szCs w:val="24"/>
        </w:rPr>
        <w:fldChar w:fldCharType="separate"/>
      </w:r>
      <w:r w:rsidR="00FA0CBD">
        <w:rPr>
          <w:rFonts w:cs="Helvetica"/>
          <w:sz w:val="24"/>
          <w:szCs w:val="24"/>
        </w:rPr>
        <w:t>(a)</w:t>
      </w:r>
      <w:r w:rsidRPr="00467B30">
        <w:rPr>
          <w:rFonts w:cs="Helvetica"/>
          <w:sz w:val="24"/>
          <w:szCs w:val="24"/>
        </w:rPr>
        <w:fldChar w:fldCharType="end"/>
      </w:r>
      <w:r w:rsidRPr="00467B30">
        <w:rPr>
          <w:rFonts w:cs="Helvetica"/>
          <w:sz w:val="24"/>
          <w:szCs w:val="24"/>
        </w:rPr>
        <w:t>-</w:t>
      </w:r>
      <w:r w:rsidRPr="00467B30">
        <w:rPr>
          <w:rFonts w:cs="Helvetica"/>
          <w:sz w:val="24"/>
          <w:szCs w:val="24"/>
        </w:rPr>
        <w:fldChar w:fldCharType="begin"/>
      </w:r>
      <w:r w:rsidRPr="00467B30">
        <w:rPr>
          <w:rFonts w:cs="Helvetica"/>
          <w:sz w:val="24"/>
          <w:szCs w:val="24"/>
        </w:rPr>
        <w:instrText xml:space="preserve"> REF _Ref452971574 \r \h  \* MERGEFORMAT </w:instrText>
      </w:r>
      <w:r w:rsidRPr="00467B30">
        <w:rPr>
          <w:rFonts w:cs="Helvetica"/>
          <w:sz w:val="24"/>
          <w:szCs w:val="24"/>
        </w:rPr>
      </w:r>
      <w:r w:rsidRPr="00467B30">
        <w:rPr>
          <w:rFonts w:cs="Helvetica"/>
          <w:sz w:val="24"/>
          <w:szCs w:val="24"/>
        </w:rPr>
        <w:fldChar w:fldCharType="separate"/>
      </w:r>
      <w:r w:rsidR="00FA0CBD">
        <w:rPr>
          <w:rFonts w:cs="Helvetica"/>
          <w:sz w:val="24"/>
          <w:szCs w:val="24"/>
        </w:rPr>
        <w:t>(b)</w:t>
      </w:r>
      <w:r w:rsidRPr="00467B30">
        <w:rPr>
          <w:rFonts w:cs="Helvetica"/>
          <w:sz w:val="24"/>
          <w:szCs w:val="24"/>
        </w:rPr>
        <w:fldChar w:fldCharType="end"/>
      </w:r>
      <w:r w:rsidRPr="00467B30">
        <w:rPr>
          <w:rFonts w:cs="Helvetica"/>
          <w:sz w:val="24"/>
          <w:szCs w:val="24"/>
        </w:rPr>
        <w:t xml:space="preserve"> above must:</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contain details of the Commission's compliance with and performance with respect to the Prudential Standards applicable pursuant to this Determination; and</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be in such format as approved by the Und</w:t>
      </w:r>
      <w:r w:rsidR="005B706E">
        <w:rPr>
          <w:rFonts w:cs="Helvetica"/>
          <w:b w:val="0"/>
          <w:sz w:val="24"/>
          <w:szCs w:val="24"/>
        </w:rPr>
        <w:t>er Treasurer from time to time.</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 xml:space="preserve">In relation to the annual reports at clause </w:t>
      </w:r>
      <w:r w:rsidRPr="00467B30">
        <w:rPr>
          <w:rFonts w:cs="Helvetica"/>
          <w:sz w:val="24"/>
          <w:szCs w:val="24"/>
        </w:rPr>
        <w:fldChar w:fldCharType="begin"/>
      </w:r>
      <w:r w:rsidRPr="00467B30">
        <w:rPr>
          <w:rFonts w:cs="Helvetica"/>
          <w:sz w:val="24"/>
          <w:szCs w:val="24"/>
        </w:rPr>
        <w:instrText xml:space="preserve"> REF _Ref451856922 \r \h  \* MERGEFORMAT </w:instrText>
      </w:r>
      <w:r w:rsidRPr="00467B30">
        <w:rPr>
          <w:rFonts w:cs="Helvetica"/>
          <w:sz w:val="24"/>
          <w:szCs w:val="24"/>
        </w:rPr>
      </w:r>
      <w:r w:rsidRPr="00467B30">
        <w:rPr>
          <w:rFonts w:cs="Helvetica"/>
          <w:sz w:val="24"/>
          <w:szCs w:val="24"/>
        </w:rPr>
        <w:fldChar w:fldCharType="separate"/>
      </w:r>
      <w:r w:rsidR="00FA0CBD">
        <w:rPr>
          <w:rFonts w:cs="Helvetica"/>
          <w:sz w:val="24"/>
          <w:szCs w:val="24"/>
        </w:rPr>
        <w:t>4</w:t>
      </w:r>
      <w:r w:rsidRPr="00467B30">
        <w:rPr>
          <w:rFonts w:cs="Helvetica"/>
          <w:sz w:val="24"/>
          <w:szCs w:val="24"/>
        </w:rPr>
        <w:fldChar w:fldCharType="end"/>
      </w:r>
      <w:r w:rsidRPr="00467B30">
        <w:rPr>
          <w:rFonts w:cs="Helvetica"/>
          <w:sz w:val="24"/>
          <w:szCs w:val="24"/>
        </w:rPr>
        <w:fldChar w:fldCharType="begin"/>
      </w:r>
      <w:r w:rsidRPr="00467B30">
        <w:rPr>
          <w:rFonts w:cs="Helvetica"/>
          <w:sz w:val="24"/>
          <w:szCs w:val="24"/>
        </w:rPr>
        <w:instrText xml:space="preserve"> REF _Ref451857142 \r \h  \* MERGEFORMAT </w:instrText>
      </w:r>
      <w:r w:rsidRPr="00467B30">
        <w:rPr>
          <w:rFonts w:cs="Helvetica"/>
          <w:sz w:val="24"/>
          <w:szCs w:val="24"/>
        </w:rPr>
      </w:r>
      <w:r w:rsidRPr="00467B30">
        <w:rPr>
          <w:rFonts w:cs="Helvetica"/>
          <w:sz w:val="24"/>
          <w:szCs w:val="24"/>
        </w:rPr>
        <w:fldChar w:fldCharType="separate"/>
      </w:r>
      <w:r w:rsidR="00FA0CBD">
        <w:rPr>
          <w:rFonts w:cs="Helvetica"/>
          <w:sz w:val="24"/>
          <w:szCs w:val="24"/>
        </w:rPr>
        <w:t>(b)</w:t>
      </w:r>
      <w:r w:rsidRPr="00467B30">
        <w:rPr>
          <w:rFonts w:cs="Helvetica"/>
          <w:sz w:val="24"/>
          <w:szCs w:val="24"/>
        </w:rPr>
        <w:fldChar w:fldCharType="end"/>
      </w:r>
      <w:r w:rsidRPr="00467B30">
        <w:rPr>
          <w:rFonts w:cs="Helvetica"/>
          <w:sz w:val="24"/>
          <w:szCs w:val="24"/>
        </w:rPr>
        <w:t xml:space="preserve"> above, if the financial reporting standards or requirements adopted for a measure are different to those set out in the Prudential Standards, the annual report must identify the financial reporting standard or requirement adopted, the reason for the adoption, and report the measure on the basis adopted as well as the basis set out in the Prudential Standards. </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The Commission must conduct a triennial independent review of governance and risk management practices to ensure that objectives of the risk management framework are being met.  A report of this review must be provided to the Treasurer within 10 business days of it being completed.  The first report must be completed within three years of this Determination coming into effect.</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 xml:space="preserve">The Commission must provide such other reports as and when required under the Prudential Standards, subject to any other direction or approval of the Treasurer. </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 xml:space="preserve">The Commission must provide any additional ad-hoc reports requested by the Treasurer from time to time, in an accurate and timely manner, and in a format approved by the Treasurer. </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 xml:space="preserve">The Commission must inform the Treasurer as soon as practicable of any material or significant events, transactions, breaches or other issues relating to the MAC business, compliance with the Prudential Standards and/or this Determination as soon as practicable. </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lastRenderedPageBreak/>
        <w:t xml:space="preserve">Whenever the Commission is required to lodge a report with the Treasurer under this clause </w:t>
      </w:r>
      <w:r w:rsidRPr="00467B30">
        <w:rPr>
          <w:rFonts w:cs="Helvetica"/>
          <w:sz w:val="24"/>
          <w:szCs w:val="24"/>
        </w:rPr>
        <w:fldChar w:fldCharType="begin"/>
      </w:r>
      <w:r w:rsidRPr="00467B30">
        <w:rPr>
          <w:rFonts w:cs="Helvetica"/>
          <w:sz w:val="24"/>
          <w:szCs w:val="24"/>
        </w:rPr>
        <w:instrText xml:space="preserve"> REF _Ref451856922 \r \h  \* MERGEFORMAT </w:instrText>
      </w:r>
      <w:r w:rsidRPr="00467B30">
        <w:rPr>
          <w:rFonts w:cs="Helvetica"/>
          <w:sz w:val="24"/>
          <w:szCs w:val="24"/>
        </w:rPr>
      </w:r>
      <w:r w:rsidRPr="00467B30">
        <w:rPr>
          <w:rFonts w:cs="Helvetica"/>
          <w:sz w:val="24"/>
          <w:szCs w:val="24"/>
        </w:rPr>
        <w:fldChar w:fldCharType="separate"/>
      </w:r>
      <w:r w:rsidR="00FA0CBD">
        <w:rPr>
          <w:rFonts w:cs="Helvetica"/>
          <w:sz w:val="24"/>
          <w:szCs w:val="24"/>
        </w:rPr>
        <w:t>4</w:t>
      </w:r>
      <w:r w:rsidRPr="00467B30">
        <w:rPr>
          <w:rFonts w:cs="Helvetica"/>
          <w:sz w:val="24"/>
          <w:szCs w:val="24"/>
        </w:rPr>
        <w:fldChar w:fldCharType="end"/>
      </w:r>
      <w:r w:rsidRPr="00467B30">
        <w:rPr>
          <w:rFonts w:cs="Helvetica"/>
          <w:sz w:val="24"/>
          <w:szCs w:val="24"/>
        </w:rPr>
        <w:t>, the Commission must also lodge a copy of the return or report with the Under Treasurer.</w:t>
      </w:r>
    </w:p>
    <w:p w:rsidR="00467B30" w:rsidRPr="00467B30" w:rsidRDefault="00467B30" w:rsidP="005B706E">
      <w:pPr>
        <w:pStyle w:val="WKL4"/>
        <w:numPr>
          <w:ilvl w:val="0"/>
          <w:numId w:val="0"/>
        </w:numPr>
        <w:spacing w:before="0"/>
        <w:rPr>
          <w:rFonts w:ascii="Helvetica" w:hAnsi="Helvetica" w:cs="Helvetica"/>
          <w:b/>
          <w:sz w:val="24"/>
          <w:szCs w:val="24"/>
        </w:rPr>
      </w:pPr>
      <w:r w:rsidRPr="00467B30">
        <w:rPr>
          <w:rFonts w:ascii="Helvetica" w:hAnsi="Helvetica" w:cs="Helvetica"/>
          <w:b/>
          <w:sz w:val="24"/>
          <w:szCs w:val="24"/>
        </w:rPr>
        <w:t>Schedule 1 – Qualifications, modifications, clarifications or additions to APRA</w:t>
      </w:r>
      <w:r w:rsidR="00A27435">
        <w:rPr>
          <w:rFonts w:ascii="Helvetica" w:hAnsi="Helvetica" w:cs="Helvetica"/>
          <w:b/>
          <w:sz w:val="24"/>
          <w:szCs w:val="24"/>
        </w:rPr>
        <w:t> </w:t>
      </w:r>
      <w:r w:rsidRPr="00467B30">
        <w:rPr>
          <w:rFonts w:ascii="Helvetica" w:hAnsi="Helvetica" w:cs="Helvetica"/>
          <w:b/>
          <w:sz w:val="24"/>
          <w:szCs w:val="24"/>
        </w:rPr>
        <w:t xml:space="preserve">Standards </w:t>
      </w:r>
    </w:p>
    <w:p w:rsidR="00467B30" w:rsidRPr="00467B30" w:rsidRDefault="00467B30" w:rsidP="005B706E">
      <w:pPr>
        <w:pStyle w:val="Heading1"/>
        <w:widowControl/>
        <w:numPr>
          <w:ilvl w:val="0"/>
          <w:numId w:val="42"/>
        </w:numPr>
        <w:spacing w:before="0" w:after="120"/>
        <w:jc w:val="both"/>
        <w:rPr>
          <w:rFonts w:cs="Helvetica"/>
          <w:sz w:val="24"/>
          <w:szCs w:val="24"/>
        </w:rPr>
      </w:pPr>
      <w:r w:rsidRPr="00467B30">
        <w:rPr>
          <w:rFonts w:cs="Helvetica"/>
          <w:sz w:val="24"/>
          <w:szCs w:val="24"/>
        </w:rPr>
        <w:t xml:space="preserve">GPS 110 Capital Adequacy </w:t>
      </w:r>
    </w:p>
    <w:p w:rsidR="00467B30" w:rsidRPr="00467B30" w:rsidRDefault="00467B30" w:rsidP="005B706E">
      <w:pPr>
        <w:pStyle w:val="WKL4"/>
        <w:numPr>
          <w:ilvl w:val="0"/>
          <w:numId w:val="0"/>
        </w:numPr>
        <w:spacing w:before="0"/>
        <w:ind w:left="567"/>
        <w:rPr>
          <w:rFonts w:ascii="Helvetica" w:hAnsi="Helvetica" w:cs="Helvetica"/>
          <w:sz w:val="24"/>
          <w:szCs w:val="24"/>
        </w:rPr>
      </w:pPr>
      <w:r w:rsidRPr="00467B30">
        <w:rPr>
          <w:rFonts w:ascii="Helvetica" w:hAnsi="Helvetica" w:cs="Helvetica"/>
          <w:sz w:val="24"/>
          <w:szCs w:val="24"/>
        </w:rPr>
        <w:t>Only provisions relating to the responsibility for capital management, internal capital adequacy assessment process and capital base, at paragraphs 1-19 of GPS 110, apply.</w:t>
      </w:r>
    </w:p>
    <w:p w:rsidR="00467B30" w:rsidRPr="00467B30" w:rsidRDefault="00467B30" w:rsidP="005B706E">
      <w:pPr>
        <w:pStyle w:val="Heading1"/>
        <w:widowControl/>
        <w:numPr>
          <w:ilvl w:val="0"/>
          <w:numId w:val="40"/>
        </w:numPr>
        <w:spacing w:before="0" w:after="120"/>
        <w:jc w:val="both"/>
        <w:rPr>
          <w:rFonts w:cs="Helvetica"/>
          <w:sz w:val="24"/>
          <w:szCs w:val="24"/>
        </w:rPr>
      </w:pPr>
      <w:r w:rsidRPr="00467B30">
        <w:rPr>
          <w:rFonts w:cs="Helvetica"/>
          <w:sz w:val="24"/>
          <w:szCs w:val="24"/>
        </w:rPr>
        <w:t xml:space="preserve">GPS 230 Reinsurance Management </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 xml:space="preserve">References to the Insurance Concentration Risk Charge (ICRC) do not apply. </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Reinsurance Management Strategy reviews are to be undertaken every three years, or in the circumstances of notable changes in business arrangements.</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Provisions relating to monitoring and reviewing ICRC and catastrophe reinsurance program (at paragraphs 23(f)-(g) of GPS 230) are to apply such that the Commission must document reinsurance arrangements and tracking of reinstatements of cover during the policy year.</w:t>
      </w:r>
    </w:p>
    <w:p w:rsidR="00467B30" w:rsidRPr="00467B30" w:rsidRDefault="00467B30" w:rsidP="005B706E">
      <w:pPr>
        <w:pStyle w:val="Heading1"/>
        <w:widowControl/>
        <w:numPr>
          <w:ilvl w:val="0"/>
          <w:numId w:val="40"/>
        </w:numPr>
        <w:spacing w:before="0" w:after="120"/>
        <w:jc w:val="both"/>
        <w:rPr>
          <w:rFonts w:cs="Helvetica"/>
          <w:sz w:val="24"/>
          <w:szCs w:val="24"/>
        </w:rPr>
      </w:pPr>
      <w:r w:rsidRPr="00467B30">
        <w:rPr>
          <w:rFonts w:cs="Helvetica"/>
          <w:sz w:val="24"/>
          <w:szCs w:val="24"/>
        </w:rPr>
        <w:t xml:space="preserve">GPS 320 Actuarial and Related Matters  </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 xml:space="preserve">References to the Insurance Concentration Risk Charge (ICRC) determination or assessment shall be read as a determination or analysis of the annual frequency of claims that are in excess of the reinsurance retention. </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The requirement to prepare a Financial Condition Report annually is modified to be every second year, unless:</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the capital of the MAC Fund is outside of the target range; or</w:t>
      </w:r>
    </w:p>
    <w:p w:rsidR="00467B30" w:rsidRPr="00467B30" w:rsidRDefault="00467B30" w:rsidP="005B706E">
      <w:pPr>
        <w:pStyle w:val="Heading3"/>
        <w:keepNext w:val="0"/>
        <w:widowControl/>
        <w:numPr>
          <w:ilvl w:val="2"/>
          <w:numId w:val="40"/>
        </w:numPr>
        <w:spacing w:before="0" w:after="120"/>
        <w:jc w:val="both"/>
        <w:rPr>
          <w:rFonts w:cs="Helvetica"/>
          <w:b w:val="0"/>
          <w:sz w:val="24"/>
          <w:szCs w:val="24"/>
        </w:rPr>
      </w:pPr>
      <w:r w:rsidRPr="00467B30">
        <w:rPr>
          <w:rFonts w:cs="Helvetica"/>
          <w:b w:val="0"/>
          <w:sz w:val="24"/>
          <w:szCs w:val="24"/>
        </w:rPr>
        <w:t>there are significant changes in the MAC business.</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The Treasurer may agree with the Commission to change the timing of the provision of all reports prepared by the Auditor-General under this Prudential Standard.</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The requirement to disclose information regarding matters that materially prejudice the interests of policyholders (at paragraph 47 of GPS 320) applies such that reference to “as required under the Act” is removed.</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 xml:space="preserve">The requirement to include an assessment of pricing in a Financial Condition Report (at (d) in Attachment B), is replaced with the requirement to include an annual pricing report, which is updated for any subsequent trends in experience if necessary.  </w:t>
      </w:r>
    </w:p>
    <w:p w:rsidR="00467B30" w:rsidRPr="00467B30" w:rsidRDefault="00467B30" w:rsidP="00A27435">
      <w:pPr>
        <w:pStyle w:val="Heading1"/>
        <w:keepNext w:val="0"/>
        <w:pageBreakBefore/>
        <w:numPr>
          <w:ilvl w:val="0"/>
          <w:numId w:val="40"/>
        </w:numPr>
        <w:spacing w:before="0" w:after="120"/>
        <w:jc w:val="both"/>
        <w:rPr>
          <w:rFonts w:cs="Helvetica"/>
          <w:sz w:val="24"/>
          <w:szCs w:val="24"/>
        </w:rPr>
      </w:pPr>
      <w:r w:rsidRPr="00467B30">
        <w:rPr>
          <w:rFonts w:cs="Helvetica"/>
          <w:sz w:val="24"/>
          <w:szCs w:val="24"/>
        </w:rPr>
        <w:lastRenderedPageBreak/>
        <w:t>CPS 220 Risk Management</w:t>
      </w:r>
    </w:p>
    <w:p w:rsidR="00467B30" w:rsidRPr="00467B30" w:rsidRDefault="00467B30" w:rsidP="005B706E">
      <w:pPr>
        <w:pStyle w:val="BodyText"/>
        <w:spacing w:after="120"/>
        <w:jc w:val="both"/>
        <w:rPr>
          <w:rFonts w:ascii="Helvetica" w:hAnsi="Helvetica" w:cs="Helvetica"/>
          <w:sz w:val="24"/>
          <w:szCs w:val="24"/>
        </w:rPr>
      </w:pPr>
      <w:r w:rsidRPr="00467B30">
        <w:rPr>
          <w:rFonts w:ascii="Helvetica" w:hAnsi="Helvetica" w:cs="Helvetica"/>
          <w:sz w:val="24"/>
          <w:szCs w:val="24"/>
        </w:rPr>
        <w:t xml:space="preserve">The Commission must adopt APRA Standard CPS 220, subject to the following qualifications: </w:t>
      </w:r>
    </w:p>
    <w:p w:rsidR="00A27435" w:rsidRDefault="00467B30" w:rsidP="00A27435">
      <w:pPr>
        <w:pStyle w:val="Heading2"/>
        <w:widowControl/>
        <w:numPr>
          <w:ilvl w:val="1"/>
          <w:numId w:val="40"/>
        </w:numPr>
        <w:spacing w:before="0" w:after="0"/>
        <w:jc w:val="both"/>
        <w:rPr>
          <w:rFonts w:cs="Helvetica"/>
          <w:sz w:val="24"/>
          <w:szCs w:val="24"/>
        </w:rPr>
      </w:pPr>
      <w:r w:rsidRPr="00467B30">
        <w:rPr>
          <w:rFonts w:cs="Helvetica"/>
          <w:sz w:val="24"/>
          <w:szCs w:val="24"/>
        </w:rPr>
        <w:t>The Commission is excluded</w:t>
      </w:r>
      <w:r w:rsidR="00A27435">
        <w:rPr>
          <w:rFonts w:cs="Helvetica"/>
          <w:sz w:val="24"/>
          <w:szCs w:val="24"/>
        </w:rPr>
        <w:t xml:space="preserve"> from the following paragraphs:</w:t>
      </w:r>
    </w:p>
    <w:p w:rsidR="00467B30" w:rsidRPr="00467B30" w:rsidRDefault="00467B30" w:rsidP="00A27435">
      <w:pPr>
        <w:pStyle w:val="Heading2"/>
        <w:widowControl/>
        <w:spacing w:before="0" w:after="120"/>
        <w:ind w:left="1134"/>
        <w:jc w:val="both"/>
        <w:rPr>
          <w:rFonts w:cs="Helvetica"/>
          <w:sz w:val="24"/>
          <w:szCs w:val="24"/>
        </w:rPr>
      </w:pPr>
      <w:r w:rsidRPr="00467B30">
        <w:rPr>
          <w:rFonts w:cs="Helvetica"/>
          <w:sz w:val="24"/>
          <w:szCs w:val="24"/>
        </w:rPr>
        <w:t>1-7, 9-18, 24, 25, 32, 34-37, 41, 43, 45-48, 51, 55, 56, 57.</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The provision for alternative arrangements for risk management at paragraph 42 of CPS 220 does not apply.</w:t>
      </w:r>
    </w:p>
    <w:p w:rsidR="00467B30" w:rsidRPr="00467B30" w:rsidRDefault="00467B30" w:rsidP="005B706E">
      <w:pPr>
        <w:pStyle w:val="Heading1"/>
        <w:widowControl/>
        <w:numPr>
          <w:ilvl w:val="0"/>
          <w:numId w:val="40"/>
        </w:numPr>
        <w:spacing w:before="0" w:after="120"/>
        <w:jc w:val="both"/>
        <w:rPr>
          <w:rFonts w:cs="Helvetica"/>
          <w:bCs w:val="0"/>
          <w:sz w:val="24"/>
          <w:szCs w:val="24"/>
        </w:rPr>
      </w:pPr>
      <w:r w:rsidRPr="00467B30">
        <w:rPr>
          <w:rFonts w:cs="Helvetica"/>
          <w:sz w:val="24"/>
          <w:szCs w:val="24"/>
        </w:rPr>
        <w:t>CPS 232 Business Continuity Management</w:t>
      </w:r>
    </w:p>
    <w:p w:rsidR="00467B30" w:rsidRPr="00467B30" w:rsidRDefault="00467B30" w:rsidP="005B706E">
      <w:pPr>
        <w:pStyle w:val="BodyText"/>
        <w:spacing w:after="120"/>
        <w:jc w:val="both"/>
        <w:rPr>
          <w:rFonts w:ascii="Helvetica" w:hAnsi="Helvetica" w:cs="Helvetica"/>
          <w:sz w:val="24"/>
          <w:szCs w:val="24"/>
        </w:rPr>
      </w:pPr>
      <w:r w:rsidRPr="00467B30">
        <w:rPr>
          <w:rFonts w:ascii="Helvetica" w:hAnsi="Helvetica" w:cs="Helvetica"/>
          <w:sz w:val="24"/>
          <w:szCs w:val="24"/>
        </w:rPr>
        <w:t>The application of this APRA Standard is in respect of the Business Continuity Plan of any third party that is contracted by the Commission to perform its MAC business operations.</w:t>
      </w:r>
    </w:p>
    <w:p w:rsidR="00467B30" w:rsidRPr="00467B30" w:rsidRDefault="00467B30" w:rsidP="005B706E">
      <w:pPr>
        <w:pStyle w:val="Heading1"/>
        <w:widowControl/>
        <w:numPr>
          <w:ilvl w:val="0"/>
          <w:numId w:val="40"/>
        </w:numPr>
        <w:spacing w:before="0" w:after="120"/>
        <w:jc w:val="both"/>
        <w:rPr>
          <w:rFonts w:cs="Helvetica"/>
          <w:sz w:val="24"/>
          <w:szCs w:val="24"/>
        </w:rPr>
      </w:pPr>
      <w:r w:rsidRPr="00467B30">
        <w:rPr>
          <w:rFonts w:cs="Helvetica"/>
          <w:sz w:val="24"/>
          <w:szCs w:val="24"/>
        </w:rPr>
        <w:t xml:space="preserve">CPS 520 Fit and Proper </w:t>
      </w:r>
    </w:p>
    <w:p w:rsidR="00467B30" w:rsidRPr="00467B30" w:rsidRDefault="00467B30" w:rsidP="005B706E">
      <w:pPr>
        <w:pStyle w:val="BodyText"/>
        <w:spacing w:after="120"/>
        <w:jc w:val="both"/>
        <w:rPr>
          <w:rFonts w:ascii="Helvetica" w:hAnsi="Helvetica" w:cs="Helvetica"/>
          <w:sz w:val="24"/>
          <w:szCs w:val="24"/>
        </w:rPr>
      </w:pPr>
      <w:r w:rsidRPr="00467B30">
        <w:rPr>
          <w:rFonts w:ascii="Helvetica" w:hAnsi="Helvetica" w:cs="Helvetica"/>
          <w:sz w:val="24"/>
          <w:szCs w:val="24"/>
        </w:rPr>
        <w:t xml:space="preserve">The Commission must adopt APRA Standard CPS 520, subject to the following qualifications: </w:t>
      </w:r>
    </w:p>
    <w:p w:rsidR="00467B30" w:rsidRPr="00467B30" w:rsidRDefault="00467B30" w:rsidP="005B706E">
      <w:pPr>
        <w:pStyle w:val="Heading2"/>
        <w:widowControl/>
        <w:numPr>
          <w:ilvl w:val="1"/>
          <w:numId w:val="40"/>
        </w:numPr>
        <w:spacing w:before="0" w:after="120"/>
        <w:jc w:val="both"/>
        <w:rPr>
          <w:rFonts w:cs="Helvetica"/>
          <w:sz w:val="24"/>
          <w:szCs w:val="24"/>
        </w:rPr>
      </w:pPr>
      <w:r w:rsidRPr="00467B30">
        <w:rPr>
          <w:rFonts w:cs="Helvetica"/>
          <w:sz w:val="24"/>
          <w:szCs w:val="24"/>
        </w:rPr>
        <w:t xml:space="preserve">The Commissioner is excluded from the fit and proper policy and framework. </w:t>
      </w:r>
    </w:p>
    <w:p w:rsidR="00467B30" w:rsidRPr="000519EA" w:rsidRDefault="00467B30" w:rsidP="005B706E">
      <w:pPr>
        <w:pStyle w:val="Heading2"/>
        <w:widowControl/>
        <w:numPr>
          <w:ilvl w:val="1"/>
          <w:numId w:val="40"/>
        </w:numPr>
        <w:spacing w:before="0" w:after="120"/>
        <w:jc w:val="both"/>
      </w:pPr>
      <w:r w:rsidRPr="00467B30">
        <w:rPr>
          <w:rFonts w:cs="Helvetica"/>
          <w:sz w:val="24"/>
          <w:szCs w:val="24"/>
        </w:rPr>
        <w:t>The Commissioner is required to make an annual declaration in relation to the Commissioner’s fitness and proprietary, in a form as approved by the Treasurer.</w:t>
      </w:r>
    </w:p>
    <w:sectPr w:rsidR="00467B30" w:rsidRPr="000519EA" w:rsidSect="00D06122">
      <w:headerReference w:type="default" r:id="rId9"/>
      <w:footerReference w:type="default" r:id="rId10"/>
      <w:pgSz w:w="11907" w:h="16839" w:code="9"/>
      <w:pgMar w:top="1440" w:right="1701" w:bottom="1797"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F02" w:rsidRDefault="002A4F02" w:rsidP="00262753">
      <w:pPr>
        <w:spacing w:before="0" w:after="0"/>
      </w:pPr>
      <w:r>
        <w:separator/>
      </w:r>
    </w:p>
  </w:endnote>
  <w:endnote w:type="continuationSeparator" w:id="0">
    <w:p w:rsidR="002A4F02" w:rsidRDefault="002A4F02"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02" w:rsidRPr="00E433EF" w:rsidRDefault="002A4F02"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FA0CBD">
      <w:rPr>
        <w:noProof/>
      </w:rPr>
      <w:t>8</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F02" w:rsidRDefault="002A4F02" w:rsidP="00262753">
      <w:pPr>
        <w:spacing w:before="0" w:after="0"/>
      </w:pPr>
      <w:r>
        <w:separator/>
      </w:r>
    </w:p>
  </w:footnote>
  <w:footnote w:type="continuationSeparator" w:id="0">
    <w:p w:rsidR="002A4F02" w:rsidRDefault="002A4F02"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02" w:rsidRPr="00246A76" w:rsidRDefault="002A4F02" w:rsidP="00CF17A8">
    <w:pPr>
      <w:pStyle w:val="Header"/>
    </w:pPr>
    <w:r w:rsidRPr="00246A76">
      <w:t xml:space="preserve">Northern Territory Government Gazette No. </w:t>
    </w:r>
    <w:r w:rsidR="00467B30">
      <w:t>S60</w:t>
    </w:r>
    <w:r w:rsidRPr="00246A76">
      <w:t xml:space="preserve">, </w:t>
    </w:r>
    <w:r w:rsidR="00467B30">
      <w:t>16</w:t>
    </w:r>
    <w:r w:rsidR="00B01178">
      <w:t xml:space="preserve"> </w:t>
    </w:r>
    <w:r w:rsidR="00586F1F">
      <w:t>August</w:t>
    </w:r>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118"/>
    <w:multiLevelType w:val="hybridMultilevel"/>
    <w:tmpl w:val="6A0E1A4C"/>
    <w:lvl w:ilvl="0" w:tplc="E8966E06">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50C29"/>
    <w:multiLevelType w:val="hybridMultilevel"/>
    <w:tmpl w:val="54DCE0D4"/>
    <w:lvl w:ilvl="0" w:tplc="70C25938">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 w15:restartNumberingAfterBreak="0">
    <w:nsid w:val="02E66396"/>
    <w:multiLevelType w:val="hybridMultilevel"/>
    <w:tmpl w:val="0CC42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E108A"/>
    <w:multiLevelType w:val="hybridMultilevel"/>
    <w:tmpl w:val="0E705F14"/>
    <w:lvl w:ilvl="0" w:tplc="70C25938">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15:restartNumberingAfterBreak="0">
    <w:nsid w:val="048056FE"/>
    <w:multiLevelType w:val="hybridMultilevel"/>
    <w:tmpl w:val="A186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802FCC"/>
    <w:multiLevelType w:val="hybridMultilevel"/>
    <w:tmpl w:val="3B907548"/>
    <w:lvl w:ilvl="0" w:tplc="4A96E3EA">
      <w:start w:val="9"/>
      <w:numFmt w:val="lowerLetter"/>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267275"/>
    <w:multiLevelType w:val="hybridMultilevel"/>
    <w:tmpl w:val="6618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B204E"/>
    <w:multiLevelType w:val="hybridMultilevel"/>
    <w:tmpl w:val="26FCEB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F17E95"/>
    <w:multiLevelType w:val="hybridMultilevel"/>
    <w:tmpl w:val="E6FCD78A"/>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325669"/>
    <w:multiLevelType w:val="multilevel"/>
    <w:tmpl w:val="1836408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b w:val="0"/>
      </w:rPr>
    </w:lvl>
    <w:lvl w:ilvl="4">
      <w:start w:val="1"/>
      <w:numFmt w:val="upperLetter"/>
      <w:lvlText w:val="(%5)"/>
      <w:lvlJc w:val="left"/>
      <w:pPr>
        <w:tabs>
          <w:tab w:val="num" w:pos="2268"/>
        </w:tabs>
        <w:ind w:left="2835" w:hanging="567"/>
      </w:pPr>
      <w:rPr>
        <w:rFonts w:ascii="Arial" w:hAnsi="Arial" w:hint="default"/>
        <w:sz w:val="16"/>
        <w:szCs w:val="16"/>
      </w:rPr>
    </w:lvl>
    <w:lvl w:ilvl="5">
      <w:start w:val="1"/>
      <w:numFmt w:val="upperLetter"/>
      <w:lvlRestart w:val="1"/>
      <w:lvlText w:val="%1%6"/>
      <w:lvlJc w:val="left"/>
      <w:pPr>
        <w:tabs>
          <w:tab w:val="num" w:pos="567"/>
        </w:tabs>
        <w:ind w:left="567" w:hanging="567"/>
      </w:pPr>
      <w:rPr>
        <w:rFonts w:hint="default"/>
      </w:rPr>
    </w:lvl>
    <w:lvl w:ilvl="6">
      <w:start w:val="1"/>
      <w:numFmt w:val="decimal"/>
      <w:lvlText w:val="%1%6.%7"/>
      <w:lvlJc w:val="left"/>
      <w:pPr>
        <w:tabs>
          <w:tab w:val="num" w:pos="567"/>
        </w:tabs>
        <w:ind w:left="1134" w:hanging="567"/>
      </w:pPr>
      <w:rPr>
        <w:rFonts w:hint="default"/>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10" w15:restartNumberingAfterBreak="0">
    <w:nsid w:val="1B815EA5"/>
    <w:multiLevelType w:val="hybridMultilevel"/>
    <w:tmpl w:val="15527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2" w15:restartNumberingAfterBreak="0">
    <w:nsid w:val="226A6B54"/>
    <w:multiLevelType w:val="hybridMultilevel"/>
    <w:tmpl w:val="72F2355C"/>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FF46B3"/>
    <w:multiLevelType w:val="multilevel"/>
    <w:tmpl w:val="048CF1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3541AC"/>
    <w:multiLevelType w:val="hybridMultilevel"/>
    <w:tmpl w:val="8A648A9E"/>
    <w:lvl w:ilvl="0" w:tplc="7A90454A">
      <w:start w:val="1"/>
      <w:numFmt w:val="lowerLetter"/>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5" w15:restartNumberingAfterBreak="0">
    <w:nsid w:val="29DA4027"/>
    <w:multiLevelType w:val="hybridMultilevel"/>
    <w:tmpl w:val="FE4C3BAA"/>
    <w:lvl w:ilvl="0" w:tplc="B8A07F6E">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746E75"/>
    <w:multiLevelType w:val="multilevel"/>
    <w:tmpl w:val="146827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800"/>
        </w:tabs>
        <w:ind w:left="1728" w:hanging="648"/>
      </w:pPr>
      <w:rPr>
        <w:rFonts w:ascii="Times New Roman" w:hAnsi="Times New Roman" w:cs="Times New Roman" w:hint="default"/>
      </w:rPr>
    </w:lvl>
    <w:lvl w:ilvl="4">
      <w:start w:val="1"/>
      <w:numFmt w:val="upperLetter"/>
      <w:lvlText w:val="(%5)"/>
      <w:lvlJc w:val="left"/>
      <w:pPr>
        <w:tabs>
          <w:tab w:val="num" w:pos="2232"/>
        </w:tabs>
        <w:ind w:left="2232" w:hanging="792"/>
      </w:pPr>
      <w:rPr>
        <w:rFonts w:ascii="Times New Roman" w:hAnsi="Times New Roman" w:cs="Times New Roman" w:hint="default"/>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31BB1D2B"/>
    <w:multiLevelType w:val="hybridMultilevel"/>
    <w:tmpl w:val="75F6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23367B"/>
    <w:multiLevelType w:val="hybridMultilevel"/>
    <w:tmpl w:val="BB3C82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00112E"/>
    <w:multiLevelType w:val="multilevel"/>
    <w:tmpl w:val="73B8B8B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2" w15:restartNumberingAfterBreak="0">
    <w:nsid w:val="403D1994"/>
    <w:multiLevelType w:val="hybridMultilevel"/>
    <w:tmpl w:val="F374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4" w15:restartNumberingAfterBreak="0">
    <w:nsid w:val="40B63B71"/>
    <w:multiLevelType w:val="hybridMultilevel"/>
    <w:tmpl w:val="47DE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80622C"/>
    <w:multiLevelType w:val="hybridMultilevel"/>
    <w:tmpl w:val="8BE8D08E"/>
    <w:lvl w:ilvl="0" w:tplc="579C67B8">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CF3D62"/>
    <w:multiLevelType w:val="hybridMultilevel"/>
    <w:tmpl w:val="43AEB530"/>
    <w:lvl w:ilvl="0" w:tplc="BB1E217E">
      <w:start w:val="9"/>
      <w:numFmt w:val="lowerLetter"/>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CD3959"/>
    <w:multiLevelType w:val="hybridMultilevel"/>
    <w:tmpl w:val="77800068"/>
    <w:lvl w:ilvl="0" w:tplc="21AE97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533C8B"/>
    <w:multiLevelType w:val="hybridMultilevel"/>
    <w:tmpl w:val="9F8C47FE"/>
    <w:lvl w:ilvl="0" w:tplc="87622768">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0" w15:restartNumberingAfterBreak="0">
    <w:nsid w:val="60196722"/>
    <w:multiLevelType w:val="hybridMultilevel"/>
    <w:tmpl w:val="BE4270D0"/>
    <w:lvl w:ilvl="0" w:tplc="5D2004FE">
      <w:start w:val="1"/>
      <w:numFmt w:val="lowerRoman"/>
      <w:lvlText w:val="(%1)"/>
      <w:lvlJc w:val="left"/>
      <w:pPr>
        <w:ind w:left="1484" w:hanging="720"/>
      </w:pPr>
      <w:rPr>
        <w:rFonts w:hint="default"/>
      </w:rPr>
    </w:lvl>
    <w:lvl w:ilvl="1" w:tplc="0C090019" w:tentative="1">
      <w:start w:val="1"/>
      <w:numFmt w:val="lowerLetter"/>
      <w:lvlText w:val="%2."/>
      <w:lvlJc w:val="left"/>
      <w:pPr>
        <w:ind w:left="1844" w:hanging="360"/>
      </w:pPr>
    </w:lvl>
    <w:lvl w:ilvl="2" w:tplc="0C09001B" w:tentative="1">
      <w:start w:val="1"/>
      <w:numFmt w:val="lowerRoman"/>
      <w:lvlText w:val="%3."/>
      <w:lvlJc w:val="right"/>
      <w:pPr>
        <w:ind w:left="2564" w:hanging="180"/>
      </w:pPr>
    </w:lvl>
    <w:lvl w:ilvl="3" w:tplc="0C09000F" w:tentative="1">
      <w:start w:val="1"/>
      <w:numFmt w:val="decimal"/>
      <w:lvlText w:val="%4."/>
      <w:lvlJc w:val="left"/>
      <w:pPr>
        <w:ind w:left="3284" w:hanging="360"/>
      </w:pPr>
    </w:lvl>
    <w:lvl w:ilvl="4" w:tplc="0C090019" w:tentative="1">
      <w:start w:val="1"/>
      <w:numFmt w:val="lowerLetter"/>
      <w:lvlText w:val="%5."/>
      <w:lvlJc w:val="left"/>
      <w:pPr>
        <w:ind w:left="4004" w:hanging="360"/>
      </w:pPr>
    </w:lvl>
    <w:lvl w:ilvl="5" w:tplc="0C09001B" w:tentative="1">
      <w:start w:val="1"/>
      <w:numFmt w:val="lowerRoman"/>
      <w:lvlText w:val="%6."/>
      <w:lvlJc w:val="right"/>
      <w:pPr>
        <w:ind w:left="4724" w:hanging="180"/>
      </w:pPr>
    </w:lvl>
    <w:lvl w:ilvl="6" w:tplc="0C09000F" w:tentative="1">
      <w:start w:val="1"/>
      <w:numFmt w:val="decimal"/>
      <w:lvlText w:val="%7."/>
      <w:lvlJc w:val="left"/>
      <w:pPr>
        <w:ind w:left="5444" w:hanging="360"/>
      </w:pPr>
    </w:lvl>
    <w:lvl w:ilvl="7" w:tplc="0C090019" w:tentative="1">
      <w:start w:val="1"/>
      <w:numFmt w:val="lowerLetter"/>
      <w:lvlText w:val="%8."/>
      <w:lvlJc w:val="left"/>
      <w:pPr>
        <w:ind w:left="6164" w:hanging="360"/>
      </w:pPr>
    </w:lvl>
    <w:lvl w:ilvl="8" w:tplc="0C09001B" w:tentative="1">
      <w:start w:val="1"/>
      <w:numFmt w:val="lowerRoman"/>
      <w:lvlText w:val="%9."/>
      <w:lvlJc w:val="right"/>
      <w:pPr>
        <w:ind w:left="6884" w:hanging="180"/>
      </w:pPr>
    </w:lvl>
  </w:abstractNum>
  <w:abstractNum w:abstractNumId="31" w15:restartNumberingAfterBreak="0">
    <w:nsid w:val="62826880"/>
    <w:multiLevelType w:val="hybridMultilevel"/>
    <w:tmpl w:val="2A764052"/>
    <w:lvl w:ilvl="0" w:tplc="E9EC8622">
      <w:start w:val="9"/>
      <w:numFmt w:val="lowerLetter"/>
      <w:lvlText w:val="(%1)"/>
      <w:lvlJc w:val="left"/>
      <w:pPr>
        <w:ind w:left="1494" w:hanging="360"/>
      </w:pPr>
      <w:rPr>
        <w:rFonts w:hint="default"/>
        <w:color w:val="000000"/>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2"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3" w15:restartNumberingAfterBreak="0">
    <w:nsid w:val="65356D14"/>
    <w:multiLevelType w:val="hybridMultilevel"/>
    <w:tmpl w:val="E5BC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98445C"/>
    <w:multiLevelType w:val="hybridMultilevel"/>
    <w:tmpl w:val="C498846C"/>
    <w:lvl w:ilvl="0" w:tplc="B494135A">
      <w:start w:val="9"/>
      <w:numFmt w:val="lowerLetter"/>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F14C1E"/>
    <w:multiLevelType w:val="hybridMultilevel"/>
    <w:tmpl w:val="5EE6FBD8"/>
    <w:lvl w:ilvl="0" w:tplc="C9B4A9DE">
      <w:start w:val="2"/>
      <w:numFmt w:val="lowerRoman"/>
      <w:lvlText w:val="(%1)"/>
      <w:lvlJc w:val="left"/>
      <w:pPr>
        <w:ind w:left="1080" w:hanging="72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67317E"/>
    <w:multiLevelType w:val="hybridMultilevel"/>
    <w:tmpl w:val="56AA2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214239"/>
    <w:multiLevelType w:val="hybridMultilevel"/>
    <w:tmpl w:val="58CE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35"/>
  </w:num>
  <w:num w:numId="2">
    <w:abstractNumId w:val="26"/>
  </w:num>
  <w:num w:numId="3">
    <w:abstractNumId w:val="32"/>
  </w:num>
  <w:num w:numId="4">
    <w:abstractNumId w:val="23"/>
  </w:num>
  <w:num w:numId="5">
    <w:abstractNumId w:val="11"/>
  </w:num>
  <w:num w:numId="6">
    <w:abstractNumId w:val="19"/>
  </w:num>
  <w:num w:numId="7">
    <w:abstractNumId w:val="21"/>
  </w:num>
  <w:num w:numId="8">
    <w:abstractNumId w:val="39"/>
  </w:num>
  <w:num w:numId="9">
    <w:abstractNumId w:val="37"/>
  </w:num>
  <w:num w:numId="10">
    <w:abstractNumId w:val="4"/>
  </w:num>
  <w:num w:numId="11">
    <w:abstractNumId w:val="22"/>
  </w:num>
  <w:num w:numId="12">
    <w:abstractNumId w:val="24"/>
  </w:num>
  <w:num w:numId="13">
    <w:abstractNumId w:val="10"/>
  </w:num>
  <w:num w:numId="14">
    <w:abstractNumId w:val="33"/>
  </w:num>
  <w:num w:numId="15">
    <w:abstractNumId w:val="18"/>
  </w:num>
  <w:num w:numId="16">
    <w:abstractNumId w:val="7"/>
  </w:num>
  <w:num w:numId="17">
    <w:abstractNumId w:val="38"/>
  </w:num>
  <w:num w:numId="18">
    <w:abstractNumId w:val="6"/>
  </w:num>
  <w:num w:numId="19">
    <w:abstractNumId w:val="17"/>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3"/>
  </w:num>
  <w:num w:numId="25">
    <w:abstractNumId w:val="1"/>
  </w:num>
  <w:num w:numId="26">
    <w:abstractNumId w:val="13"/>
  </w:num>
  <w:num w:numId="27">
    <w:abstractNumId w:val="20"/>
  </w:num>
  <w:num w:numId="28">
    <w:abstractNumId w:val="5"/>
  </w:num>
  <w:num w:numId="29">
    <w:abstractNumId w:val="36"/>
  </w:num>
  <w:num w:numId="30">
    <w:abstractNumId w:val="34"/>
  </w:num>
  <w:num w:numId="31">
    <w:abstractNumId w:val="15"/>
  </w:num>
  <w:num w:numId="32">
    <w:abstractNumId w:val="27"/>
  </w:num>
  <w:num w:numId="33">
    <w:abstractNumId w:val="25"/>
  </w:num>
  <w:num w:numId="34">
    <w:abstractNumId w:val="31"/>
  </w:num>
  <w:num w:numId="35">
    <w:abstractNumId w:val="0"/>
  </w:num>
  <w:num w:numId="36">
    <w:abstractNumId w:val="12"/>
  </w:num>
  <w:num w:numId="37">
    <w:abstractNumId w:val="2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9"/>
  </w:num>
  <w:num w:numId="41">
    <w:abstractNumId w:val="9"/>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567"/>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upperLetter"/>
        <w:lvlText w:val="(%5)"/>
        <w:lvlJc w:val="left"/>
        <w:pPr>
          <w:tabs>
            <w:tab w:val="num" w:pos="2268"/>
          </w:tabs>
          <w:ind w:left="2835" w:hanging="567"/>
        </w:pPr>
        <w:rPr>
          <w:rFonts w:ascii="Arial" w:hAnsi="Arial" w:hint="default"/>
          <w:sz w:val="16"/>
          <w:szCs w:val="16"/>
        </w:rPr>
      </w:lvl>
    </w:lvlOverride>
    <w:lvlOverride w:ilvl="5">
      <w:lvl w:ilvl="5">
        <w:start w:val="1"/>
        <w:numFmt w:val="upperLetter"/>
        <w:lvlRestart w:val="1"/>
        <w:lvlText w:val="%1%6"/>
        <w:lvlJc w:val="left"/>
        <w:pPr>
          <w:tabs>
            <w:tab w:val="num" w:pos="567"/>
          </w:tabs>
          <w:ind w:left="567" w:hanging="567"/>
        </w:pPr>
        <w:rPr>
          <w:rFonts w:hint="default"/>
        </w:rPr>
      </w:lvl>
    </w:lvlOverride>
    <w:lvlOverride w:ilvl="6">
      <w:lvl w:ilvl="6">
        <w:start w:val="1"/>
        <w:numFmt w:val="decimal"/>
        <w:lvlText w:val="%1%6.%7"/>
        <w:lvlJc w:val="left"/>
        <w:pPr>
          <w:tabs>
            <w:tab w:val="num" w:pos="567"/>
          </w:tabs>
          <w:ind w:left="1134" w:hanging="567"/>
        </w:pPr>
        <w:rPr>
          <w:rFonts w:hint="default"/>
        </w:rPr>
      </w:lvl>
    </w:lvlOverride>
    <w:lvlOverride w:ilvl="7">
      <w:lvl w:ilvl="7">
        <w:start w:val="1"/>
        <w:numFmt w:val="lowerLetter"/>
        <w:lvlText w:val="(%8)"/>
        <w:lvlJc w:val="left"/>
        <w:pPr>
          <w:tabs>
            <w:tab w:val="num" w:pos="1701"/>
          </w:tabs>
          <w:ind w:left="1701" w:hanging="567"/>
        </w:pPr>
        <w:rPr>
          <w:rFonts w:hint="default"/>
        </w:rPr>
      </w:lvl>
    </w:lvlOverride>
    <w:lvlOverride w:ilvl="8">
      <w:lvl w:ilvl="8">
        <w:start w:val="1"/>
        <w:numFmt w:val="lowerLetter"/>
        <w:lvlRestart w:val="3"/>
        <w:lvlText w:val="(%3%9)"/>
        <w:lvlJc w:val="left"/>
        <w:pPr>
          <w:tabs>
            <w:tab w:val="num" w:pos="1701"/>
          </w:tabs>
          <w:ind w:left="1701" w:hanging="567"/>
        </w:pPr>
        <w:rPr>
          <w:rFonts w:hint="default"/>
        </w:rPr>
      </w:lvl>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F10"/>
    <w:rsid w:val="00011403"/>
    <w:rsid w:val="0001270B"/>
    <w:rsid w:val="000137C6"/>
    <w:rsid w:val="00013F59"/>
    <w:rsid w:val="0001440E"/>
    <w:rsid w:val="0001588B"/>
    <w:rsid w:val="00015EC4"/>
    <w:rsid w:val="0001621D"/>
    <w:rsid w:val="00017BDF"/>
    <w:rsid w:val="000209AF"/>
    <w:rsid w:val="00021303"/>
    <w:rsid w:val="0002152D"/>
    <w:rsid w:val="00022ACE"/>
    <w:rsid w:val="00023B5E"/>
    <w:rsid w:val="000243DB"/>
    <w:rsid w:val="00024BE0"/>
    <w:rsid w:val="00024F77"/>
    <w:rsid w:val="00025589"/>
    <w:rsid w:val="00026E9F"/>
    <w:rsid w:val="00026F28"/>
    <w:rsid w:val="000272F0"/>
    <w:rsid w:val="000307AF"/>
    <w:rsid w:val="00030BD2"/>
    <w:rsid w:val="000328BF"/>
    <w:rsid w:val="00032F61"/>
    <w:rsid w:val="000342B8"/>
    <w:rsid w:val="00034591"/>
    <w:rsid w:val="0003471C"/>
    <w:rsid w:val="0003484F"/>
    <w:rsid w:val="000358EC"/>
    <w:rsid w:val="00035F66"/>
    <w:rsid w:val="00036601"/>
    <w:rsid w:val="00036B5E"/>
    <w:rsid w:val="000371CD"/>
    <w:rsid w:val="000373CE"/>
    <w:rsid w:val="00040F0B"/>
    <w:rsid w:val="00041556"/>
    <w:rsid w:val="00041BBD"/>
    <w:rsid w:val="000452B6"/>
    <w:rsid w:val="000470A9"/>
    <w:rsid w:val="000471DA"/>
    <w:rsid w:val="00052094"/>
    <w:rsid w:val="000521FF"/>
    <w:rsid w:val="00053007"/>
    <w:rsid w:val="000531C3"/>
    <w:rsid w:val="00053360"/>
    <w:rsid w:val="00053C3B"/>
    <w:rsid w:val="0005482B"/>
    <w:rsid w:val="00054A6A"/>
    <w:rsid w:val="000551CF"/>
    <w:rsid w:val="00057F46"/>
    <w:rsid w:val="00063341"/>
    <w:rsid w:val="00063A91"/>
    <w:rsid w:val="0006458F"/>
    <w:rsid w:val="00064BE3"/>
    <w:rsid w:val="00064FC6"/>
    <w:rsid w:val="00065CB0"/>
    <w:rsid w:val="00066830"/>
    <w:rsid w:val="00070E6F"/>
    <w:rsid w:val="00070FD9"/>
    <w:rsid w:val="00071DC1"/>
    <w:rsid w:val="00073893"/>
    <w:rsid w:val="0007569F"/>
    <w:rsid w:val="0007632A"/>
    <w:rsid w:val="00076A7C"/>
    <w:rsid w:val="00076E33"/>
    <w:rsid w:val="000771F2"/>
    <w:rsid w:val="000773E4"/>
    <w:rsid w:val="000803F8"/>
    <w:rsid w:val="000836B6"/>
    <w:rsid w:val="00083F3A"/>
    <w:rsid w:val="000842EE"/>
    <w:rsid w:val="00085FE8"/>
    <w:rsid w:val="00087800"/>
    <w:rsid w:val="00090395"/>
    <w:rsid w:val="0009271A"/>
    <w:rsid w:val="000927F1"/>
    <w:rsid w:val="00093FFD"/>
    <w:rsid w:val="0009408C"/>
    <w:rsid w:val="00094BEF"/>
    <w:rsid w:val="0009533D"/>
    <w:rsid w:val="00096127"/>
    <w:rsid w:val="00096DCC"/>
    <w:rsid w:val="000A052A"/>
    <w:rsid w:val="000A0FE0"/>
    <w:rsid w:val="000A1466"/>
    <w:rsid w:val="000A335F"/>
    <w:rsid w:val="000A3CF6"/>
    <w:rsid w:val="000A4982"/>
    <w:rsid w:val="000A4CD5"/>
    <w:rsid w:val="000A507C"/>
    <w:rsid w:val="000A5954"/>
    <w:rsid w:val="000A6058"/>
    <w:rsid w:val="000A7E68"/>
    <w:rsid w:val="000B2ACA"/>
    <w:rsid w:val="000B2F6A"/>
    <w:rsid w:val="000B38D5"/>
    <w:rsid w:val="000B3A9F"/>
    <w:rsid w:val="000B4836"/>
    <w:rsid w:val="000C0D05"/>
    <w:rsid w:val="000C0DB6"/>
    <w:rsid w:val="000C1E94"/>
    <w:rsid w:val="000C7C49"/>
    <w:rsid w:val="000D1935"/>
    <w:rsid w:val="000D1BB9"/>
    <w:rsid w:val="000D279D"/>
    <w:rsid w:val="000D5F62"/>
    <w:rsid w:val="000E2E01"/>
    <w:rsid w:val="000E362A"/>
    <w:rsid w:val="000E3EFD"/>
    <w:rsid w:val="000E5374"/>
    <w:rsid w:val="000E6BFC"/>
    <w:rsid w:val="000E71C3"/>
    <w:rsid w:val="000E7433"/>
    <w:rsid w:val="000F0B75"/>
    <w:rsid w:val="000F13BD"/>
    <w:rsid w:val="000F2551"/>
    <w:rsid w:val="000F2A84"/>
    <w:rsid w:val="000F37B9"/>
    <w:rsid w:val="000F4242"/>
    <w:rsid w:val="000F523C"/>
    <w:rsid w:val="000F5CE5"/>
    <w:rsid w:val="000F6DE7"/>
    <w:rsid w:val="00100AF8"/>
    <w:rsid w:val="00100DE4"/>
    <w:rsid w:val="00101291"/>
    <w:rsid w:val="00103FC6"/>
    <w:rsid w:val="0010434F"/>
    <w:rsid w:val="00105E93"/>
    <w:rsid w:val="00106A3F"/>
    <w:rsid w:val="00106C02"/>
    <w:rsid w:val="001077EE"/>
    <w:rsid w:val="0011153C"/>
    <w:rsid w:val="001136C2"/>
    <w:rsid w:val="00113FDA"/>
    <w:rsid w:val="00114B84"/>
    <w:rsid w:val="001167A3"/>
    <w:rsid w:val="0012026E"/>
    <w:rsid w:val="00123755"/>
    <w:rsid w:val="00125081"/>
    <w:rsid w:val="00125D75"/>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E2E"/>
    <w:rsid w:val="0014406C"/>
    <w:rsid w:val="00146D1A"/>
    <w:rsid w:val="00147C24"/>
    <w:rsid w:val="00150AAC"/>
    <w:rsid w:val="001519A1"/>
    <w:rsid w:val="001536F9"/>
    <w:rsid w:val="001545F2"/>
    <w:rsid w:val="001553F8"/>
    <w:rsid w:val="001558C7"/>
    <w:rsid w:val="001576EC"/>
    <w:rsid w:val="00157B4C"/>
    <w:rsid w:val="001605B7"/>
    <w:rsid w:val="00160916"/>
    <w:rsid w:val="00161760"/>
    <w:rsid w:val="00161F30"/>
    <w:rsid w:val="00163FCE"/>
    <w:rsid w:val="001640E9"/>
    <w:rsid w:val="00164E3B"/>
    <w:rsid w:val="00164F43"/>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6A6"/>
    <w:rsid w:val="00194A82"/>
    <w:rsid w:val="00194F86"/>
    <w:rsid w:val="00196492"/>
    <w:rsid w:val="00197529"/>
    <w:rsid w:val="001A71E6"/>
    <w:rsid w:val="001B04C2"/>
    <w:rsid w:val="001B0A65"/>
    <w:rsid w:val="001B2D57"/>
    <w:rsid w:val="001B2E92"/>
    <w:rsid w:val="001B4B6C"/>
    <w:rsid w:val="001B7068"/>
    <w:rsid w:val="001C0B7D"/>
    <w:rsid w:val="001C2B5D"/>
    <w:rsid w:val="001C4F91"/>
    <w:rsid w:val="001C57BF"/>
    <w:rsid w:val="001C7319"/>
    <w:rsid w:val="001C7A8D"/>
    <w:rsid w:val="001C7F3A"/>
    <w:rsid w:val="001D025E"/>
    <w:rsid w:val="001D1321"/>
    <w:rsid w:val="001D1797"/>
    <w:rsid w:val="001D236D"/>
    <w:rsid w:val="001D2C86"/>
    <w:rsid w:val="001D441D"/>
    <w:rsid w:val="001D5995"/>
    <w:rsid w:val="001D5E42"/>
    <w:rsid w:val="001E028C"/>
    <w:rsid w:val="001E071E"/>
    <w:rsid w:val="001E076D"/>
    <w:rsid w:val="001E0D47"/>
    <w:rsid w:val="001E2EEC"/>
    <w:rsid w:val="001E4990"/>
    <w:rsid w:val="001E6E7C"/>
    <w:rsid w:val="001E79BD"/>
    <w:rsid w:val="001F0B0A"/>
    <w:rsid w:val="001F2294"/>
    <w:rsid w:val="001F2FBD"/>
    <w:rsid w:val="001F4EBA"/>
    <w:rsid w:val="001F5833"/>
    <w:rsid w:val="001F691D"/>
    <w:rsid w:val="001F7632"/>
    <w:rsid w:val="00200AB1"/>
    <w:rsid w:val="00201844"/>
    <w:rsid w:val="002021AF"/>
    <w:rsid w:val="0020281A"/>
    <w:rsid w:val="00203EF3"/>
    <w:rsid w:val="0020405B"/>
    <w:rsid w:val="0020465D"/>
    <w:rsid w:val="0020520F"/>
    <w:rsid w:val="00205534"/>
    <w:rsid w:val="00205F2E"/>
    <w:rsid w:val="00207AAC"/>
    <w:rsid w:val="002102DC"/>
    <w:rsid w:val="0021057D"/>
    <w:rsid w:val="0021142B"/>
    <w:rsid w:val="002129ED"/>
    <w:rsid w:val="00212AF0"/>
    <w:rsid w:val="00214072"/>
    <w:rsid w:val="00214599"/>
    <w:rsid w:val="00216347"/>
    <w:rsid w:val="00216670"/>
    <w:rsid w:val="00216939"/>
    <w:rsid w:val="0021784A"/>
    <w:rsid w:val="002210B4"/>
    <w:rsid w:val="002210C9"/>
    <w:rsid w:val="00221151"/>
    <w:rsid w:val="00222080"/>
    <w:rsid w:val="0022612D"/>
    <w:rsid w:val="0022618D"/>
    <w:rsid w:val="002269D7"/>
    <w:rsid w:val="00227552"/>
    <w:rsid w:val="00227CC3"/>
    <w:rsid w:val="002305E1"/>
    <w:rsid w:val="00230E38"/>
    <w:rsid w:val="002312A3"/>
    <w:rsid w:val="00232C4B"/>
    <w:rsid w:val="0023322C"/>
    <w:rsid w:val="00233AAB"/>
    <w:rsid w:val="00235509"/>
    <w:rsid w:val="002359AF"/>
    <w:rsid w:val="00236479"/>
    <w:rsid w:val="00237049"/>
    <w:rsid w:val="00237A18"/>
    <w:rsid w:val="0024052C"/>
    <w:rsid w:val="00240FCF"/>
    <w:rsid w:val="00241A73"/>
    <w:rsid w:val="0024232D"/>
    <w:rsid w:val="002438B0"/>
    <w:rsid w:val="00246A76"/>
    <w:rsid w:val="00250133"/>
    <w:rsid w:val="00250A21"/>
    <w:rsid w:val="00251216"/>
    <w:rsid w:val="00251F21"/>
    <w:rsid w:val="0025321D"/>
    <w:rsid w:val="00253CCD"/>
    <w:rsid w:val="00255853"/>
    <w:rsid w:val="00257A5F"/>
    <w:rsid w:val="00257B5B"/>
    <w:rsid w:val="002604EE"/>
    <w:rsid w:val="00262753"/>
    <w:rsid w:val="002636CF"/>
    <w:rsid w:val="00264422"/>
    <w:rsid w:val="002648E0"/>
    <w:rsid w:val="00265E64"/>
    <w:rsid w:val="002715A7"/>
    <w:rsid w:val="002715D8"/>
    <w:rsid w:val="00272C3D"/>
    <w:rsid w:val="00273334"/>
    <w:rsid w:val="00275E14"/>
    <w:rsid w:val="0027677A"/>
    <w:rsid w:val="00277B64"/>
    <w:rsid w:val="00281C3B"/>
    <w:rsid w:val="00282700"/>
    <w:rsid w:val="002830FA"/>
    <w:rsid w:val="00283C5B"/>
    <w:rsid w:val="00284332"/>
    <w:rsid w:val="00284A1A"/>
    <w:rsid w:val="0028504D"/>
    <w:rsid w:val="002855DD"/>
    <w:rsid w:val="00285A62"/>
    <w:rsid w:val="00286926"/>
    <w:rsid w:val="00287A40"/>
    <w:rsid w:val="00291BA5"/>
    <w:rsid w:val="0029394C"/>
    <w:rsid w:val="0029428B"/>
    <w:rsid w:val="00295F24"/>
    <w:rsid w:val="00296C5D"/>
    <w:rsid w:val="00297661"/>
    <w:rsid w:val="0029790F"/>
    <w:rsid w:val="00297C05"/>
    <w:rsid w:val="00297CAB"/>
    <w:rsid w:val="002A3CE6"/>
    <w:rsid w:val="002A441F"/>
    <w:rsid w:val="002A4F02"/>
    <w:rsid w:val="002A510A"/>
    <w:rsid w:val="002A5754"/>
    <w:rsid w:val="002A67DA"/>
    <w:rsid w:val="002B06BD"/>
    <w:rsid w:val="002B2055"/>
    <w:rsid w:val="002B405A"/>
    <w:rsid w:val="002B5D7B"/>
    <w:rsid w:val="002B6931"/>
    <w:rsid w:val="002C11E6"/>
    <w:rsid w:val="002C1591"/>
    <w:rsid w:val="002C2402"/>
    <w:rsid w:val="002C2831"/>
    <w:rsid w:val="002C2BA9"/>
    <w:rsid w:val="002C319C"/>
    <w:rsid w:val="002C486F"/>
    <w:rsid w:val="002C49DD"/>
    <w:rsid w:val="002C4F83"/>
    <w:rsid w:val="002C5606"/>
    <w:rsid w:val="002C56E0"/>
    <w:rsid w:val="002C7A54"/>
    <w:rsid w:val="002D100E"/>
    <w:rsid w:val="002D2F80"/>
    <w:rsid w:val="002D4698"/>
    <w:rsid w:val="002D597D"/>
    <w:rsid w:val="002D67E3"/>
    <w:rsid w:val="002D7485"/>
    <w:rsid w:val="002D7CDC"/>
    <w:rsid w:val="002E154B"/>
    <w:rsid w:val="002E158D"/>
    <w:rsid w:val="002E256D"/>
    <w:rsid w:val="002E263E"/>
    <w:rsid w:val="002E5004"/>
    <w:rsid w:val="002E5ADE"/>
    <w:rsid w:val="002E67DC"/>
    <w:rsid w:val="002F2F82"/>
    <w:rsid w:val="002F7645"/>
    <w:rsid w:val="002F7E37"/>
    <w:rsid w:val="0030026D"/>
    <w:rsid w:val="00300805"/>
    <w:rsid w:val="003008C9"/>
    <w:rsid w:val="003008ED"/>
    <w:rsid w:val="0030119D"/>
    <w:rsid w:val="00301C57"/>
    <w:rsid w:val="0030221A"/>
    <w:rsid w:val="00302EC4"/>
    <w:rsid w:val="00303963"/>
    <w:rsid w:val="0030592F"/>
    <w:rsid w:val="0030696D"/>
    <w:rsid w:val="003070FE"/>
    <w:rsid w:val="00307A1F"/>
    <w:rsid w:val="00310AAE"/>
    <w:rsid w:val="00310E86"/>
    <w:rsid w:val="00311819"/>
    <w:rsid w:val="00311B9F"/>
    <w:rsid w:val="00311D05"/>
    <w:rsid w:val="003125EB"/>
    <w:rsid w:val="00312CB3"/>
    <w:rsid w:val="00312FA9"/>
    <w:rsid w:val="003130C4"/>
    <w:rsid w:val="00314816"/>
    <w:rsid w:val="00314EC0"/>
    <w:rsid w:val="003162AC"/>
    <w:rsid w:val="0031693F"/>
    <w:rsid w:val="00317027"/>
    <w:rsid w:val="003176A9"/>
    <w:rsid w:val="00317F3D"/>
    <w:rsid w:val="003209BA"/>
    <w:rsid w:val="00320F0A"/>
    <w:rsid w:val="0032141F"/>
    <w:rsid w:val="00323586"/>
    <w:rsid w:val="00323F4B"/>
    <w:rsid w:val="00324C51"/>
    <w:rsid w:val="003250BE"/>
    <w:rsid w:val="00326773"/>
    <w:rsid w:val="00330769"/>
    <w:rsid w:val="003314CB"/>
    <w:rsid w:val="0033251A"/>
    <w:rsid w:val="0033275A"/>
    <w:rsid w:val="003332AD"/>
    <w:rsid w:val="003338F5"/>
    <w:rsid w:val="00333D9F"/>
    <w:rsid w:val="003340BD"/>
    <w:rsid w:val="0033549B"/>
    <w:rsid w:val="00336BA4"/>
    <w:rsid w:val="00337B34"/>
    <w:rsid w:val="003406A1"/>
    <w:rsid w:val="00341601"/>
    <w:rsid w:val="00342385"/>
    <w:rsid w:val="003445C7"/>
    <w:rsid w:val="00344653"/>
    <w:rsid w:val="00344E0B"/>
    <w:rsid w:val="003451E7"/>
    <w:rsid w:val="00347ADD"/>
    <w:rsid w:val="00350FC3"/>
    <w:rsid w:val="003536E4"/>
    <w:rsid w:val="00355BCE"/>
    <w:rsid w:val="0035606A"/>
    <w:rsid w:val="003575ED"/>
    <w:rsid w:val="003577A9"/>
    <w:rsid w:val="003603F7"/>
    <w:rsid w:val="00362883"/>
    <w:rsid w:val="003631D4"/>
    <w:rsid w:val="003634D5"/>
    <w:rsid w:val="00363A92"/>
    <w:rsid w:val="00363D77"/>
    <w:rsid w:val="003649FB"/>
    <w:rsid w:val="003661B3"/>
    <w:rsid w:val="00366D29"/>
    <w:rsid w:val="00367D5F"/>
    <w:rsid w:val="00370120"/>
    <w:rsid w:val="003724ED"/>
    <w:rsid w:val="00372F49"/>
    <w:rsid w:val="00374E36"/>
    <w:rsid w:val="0037616F"/>
    <w:rsid w:val="003811BE"/>
    <w:rsid w:val="00381C89"/>
    <w:rsid w:val="00382008"/>
    <w:rsid w:val="003820DD"/>
    <w:rsid w:val="00382212"/>
    <w:rsid w:val="00382411"/>
    <w:rsid w:val="0038325C"/>
    <w:rsid w:val="00383ECF"/>
    <w:rsid w:val="00384110"/>
    <w:rsid w:val="00384C96"/>
    <w:rsid w:val="003851A1"/>
    <w:rsid w:val="00385BFD"/>
    <w:rsid w:val="0038765C"/>
    <w:rsid w:val="00392814"/>
    <w:rsid w:val="00393241"/>
    <w:rsid w:val="00393E24"/>
    <w:rsid w:val="00393F63"/>
    <w:rsid w:val="003943EE"/>
    <w:rsid w:val="00395152"/>
    <w:rsid w:val="00396D90"/>
    <w:rsid w:val="00397645"/>
    <w:rsid w:val="003A16A3"/>
    <w:rsid w:val="003A217B"/>
    <w:rsid w:val="003A2CF6"/>
    <w:rsid w:val="003A2F10"/>
    <w:rsid w:val="003A35BC"/>
    <w:rsid w:val="003A448B"/>
    <w:rsid w:val="003A531E"/>
    <w:rsid w:val="003A6BF2"/>
    <w:rsid w:val="003A6EB5"/>
    <w:rsid w:val="003A70B8"/>
    <w:rsid w:val="003A71D5"/>
    <w:rsid w:val="003B07E9"/>
    <w:rsid w:val="003B1468"/>
    <w:rsid w:val="003B15F5"/>
    <w:rsid w:val="003B15FC"/>
    <w:rsid w:val="003B1D3C"/>
    <w:rsid w:val="003B2D67"/>
    <w:rsid w:val="003B59B7"/>
    <w:rsid w:val="003B7115"/>
    <w:rsid w:val="003B76B8"/>
    <w:rsid w:val="003C0033"/>
    <w:rsid w:val="003C04AD"/>
    <w:rsid w:val="003C1A06"/>
    <w:rsid w:val="003C2161"/>
    <w:rsid w:val="003C2547"/>
    <w:rsid w:val="003C28B9"/>
    <w:rsid w:val="003C2D16"/>
    <w:rsid w:val="003C3AE8"/>
    <w:rsid w:val="003C4B0B"/>
    <w:rsid w:val="003C4EC6"/>
    <w:rsid w:val="003C5705"/>
    <w:rsid w:val="003C5C68"/>
    <w:rsid w:val="003C5EE5"/>
    <w:rsid w:val="003C6397"/>
    <w:rsid w:val="003C65EC"/>
    <w:rsid w:val="003C6DD8"/>
    <w:rsid w:val="003D0430"/>
    <w:rsid w:val="003D05D5"/>
    <w:rsid w:val="003D0D5C"/>
    <w:rsid w:val="003D110D"/>
    <w:rsid w:val="003D17BD"/>
    <w:rsid w:val="003D2062"/>
    <w:rsid w:val="003D418E"/>
    <w:rsid w:val="003D7578"/>
    <w:rsid w:val="003D787E"/>
    <w:rsid w:val="003D7FCE"/>
    <w:rsid w:val="003E0C3C"/>
    <w:rsid w:val="003E1701"/>
    <w:rsid w:val="003E1B0E"/>
    <w:rsid w:val="003E277C"/>
    <w:rsid w:val="003E46BF"/>
    <w:rsid w:val="003E4AEA"/>
    <w:rsid w:val="003E5299"/>
    <w:rsid w:val="003E5F53"/>
    <w:rsid w:val="003E63A7"/>
    <w:rsid w:val="003E6E08"/>
    <w:rsid w:val="003E7CB6"/>
    <w:rsid w:val="003F25EB"/>
    <w:rsid w:val="003F2C7D"/>
    <w:rsid w:val="003F3EE8"/>
    <w:rsid w:val="003F403B"/>
    <w:rsid w:val="003F4FDF"/>
    <w:rsid w:val="003F6841"/>
    <w:rsid w:val="003F78D5"/>
    <w:rsid w:val="003F7B2D"/>
    <w:rsid w:val="003F7DE2"/>
    <w:rsid w:val="00401940"/>
    <w:rsid w:val="00401ABB"/>
    <w:rsid w:val="00403906"/>
    <w:rsid w:val="00403EB0"/>
    <w:rsid w:val="00404A5D"/>
    <w:rsid w:val="00404C98"/>
    <w:rsid w:val="0040539C"/>
    <w:rsid w:val="004065A3"/>
    <w:rsid w:val="00407EA4"/>
    <w:rsid w:val="004111A2"/>
    <w:rsid w:val="004116D2"/>
    <w:rsid w:val="00411B23"/>
    <w:rsid w:val="00413E82"/>
    <w:rsid w:val="0041548D"/>
    <w:rsid w:val="0041591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C17"/>
    <w:rsid w:val="004406BF"/>
    <w:rsid w:val="00440A2D"/>
    <w:rsid w:val="00441119"/>
    <w:rsid w:val="00441777"/>
    <w:rsid w:val="00441F51"/>
    <w:rsid w:val="00442EB0"/>
    <w:rsid w:val="00443C56"/>
    <w:rsid w:val="004448F4"/>
    <w:rsid w:val="004459E1"/>
    <w:rsid w:val="00445AAB"/>
    <w:rsid w:val="00446DEE"/>
    <w:rsid w:val="004475DE"/>
    <w:rsid w:val="0045196E"/>
    <w:rsid w:val="00451A2D"/>
    <w:rsid w:val="00451D8B"/>
    <w:rsid w:val="00451F08"/>
    <w:rsid w:val="004529CF"/>
    <w:rsid w:val="004534AB"/>
    <w:rsid w:val="00454E20"/>
    <w:rsid w:val="00455A33"/>
    <w:rsid w:val="00455D3B"/>
    <w:rsid w:val="004561D5"/>
    <w:rsid w:val="004577B5"/>
    <w:rsid w:val="00457DB6"/>
    <w:rsid w:val="00460668"/>
    <w:rsid w:val="00460CA0"/>
    <w:rsid w:val="00461C70"/>
    <w:rsid w:val="00462107"/>
    <w:rsid w:val="00462D6F"/>
    <w:rsid w:val="004643D9"/>
    <w:rsid w:val="00465F92"/>
    <w:rsid w:val="00467B30"/>
    <w:rsid w:val="004702EC"/>
    <w:rsid w:val="0047153B"/>
    <w:rsid w:val="00471DBB"/>
    <w:rsid w:val="00474CC6"/>
    <w:rsid w:val="00474FB9"/>
    <w:rsid w:val="00476183"/>
    <w:rsid w:val="004762D0"/>
    <w:rsid w:val="004769F4"/>
    <w:rsid w:val="00477E7E"/>
    <w:rsid w:val="00477FFD"/>
    <w:rsid w:val="00481DDA"/>
    <w:rsid w:val="00482E23"/>
    <w:rsid w:val="00482EB5"/>
    <w:rsid w:val="00482FD7"/>
    <w:rsid w:val="0048308A"/>
    <w:rsid w:val="004834EA"/>
    <w:rsid w:val="004851CE"/>
    <w:rsid w:val="00486509"/>
    <w:rsid w:val="004868B8"/>
    <w:rsid w:val="00486DAB"/>
    <w:rsid w:val="0048764A"/>
    <w:rsid w:val="00491066"/>
    <w:rsid w:val="00492945"/>
    <w:rsid w:val="00493F4D"/>
    <w:rsid w:val="00494B38"/>
    <w:rsid w:val="004952A9"/>
    <w:rsid w:val="00496FBB"/>
    <w:rsid w:val="004973B2"/>
    <w:rsid w:val="004A21A8"/>
    <w:rsid w:val="004A255D"/>
    <w:rsid w:val="004A4422"/>
    <w:rsid w:val="004A7A95"/>
    <w:rsid w:val="004B000C"/>
    <w:rsid w:val="004B001E"/>
    <w:rsid w:val="004B0C47"/>
    <w:rsid w:val="004B0F67"/>
    <w:rsid w:val="004B2380"/>
    <w:rsid w:val="004B2A8B"/>
    <w:rsid w:val="004B46D6"/>
    <w:rsid w:val="004B4BF0"/>
    <w:rsid w:val="004B63D3"/>
    <w:rsid w:val="004B74FC"/>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7C7"/>
    <w:rsid w:val="004D5BFA"/>
    <w:rsid w:val="004D5DE0"/>
    <w:rsid w:val="004D5F96"/>
    <w:rsid w:val="004D6CC7"/>
    <w:rsid w:val="004D79FF"/>
    <w:rsid w:val="004E0D5D"/>
    <w:rsid w:val="004E12B7"/>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500A9C"/>
    <w:rsid w:val="0050155E"/>
    <w:rsid w:val="0050204C"/>
    <w:rsid w:val="0050405B"/>
    <w:rsid w:val="005049A5"/>
    <w:rsid w:val="005056AB"/>
    <w:rsid w:val="00506222"/>
    <w:rsid w:val="00506DDA"/>
    <w:rsid w:val="00507A3C"/>
    <w:rsid w:val="00507DC6"/>
    <w:rsid w:val="00511E3B"/>
    <w:rsid w:val="00512AD8"/>
    <w:rsid w:val="00513651"/>
    <w:rsid w:val="0051404F"/>
    <w:rsid w:val="00514951"/>
    <w:rsid w:val="00514B3E"/>
    <w:rsid w:val="0051534B"/>
    <w:rsid w:val="00515A51"/>
    <w:rsid w:val="00517457"/>
    <w:rsid w:val="005202AF"/>
    <w:rsid w:val="00520B9B"/>
    <w:rsid w:val="005215A6"/>
    <w:rsid w:val="005234EF"/>
    <w:rsid w:val="00525103"/>
    <w:rsid w:val="005254B5"/>
    <w:rsid w:val="00525F5B"/>
    <w:rsid w:val="00530930"/>
    <w:rsid w:val="00530BF3"/>
    <w:rsid w:val="00531DF2"/>
    <w:rsid w:val="00531E78"/>
    <w:rsid w:val="00532635"/>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0E"/>
    <w:rsid w:val="00546BE4"/>
    <w:rsid w:val="00550F89"/>
    <w:rsid w:val="00551824"/>
    <w:rsid w:val="00552B80"/>
    <w:rsid w:val="005543A5"/>
    <w:rsid w:val="005549B0"/>
    <w:rsid w:val="00555D8C"/>
    <w:rsid w:val="00555FF6"/>
    <w:rsid w:val="005601D9"/>
    <w:rsid w:val="00560EAD"/>
    <w:rsid w:val="00561294"/>
    <w:rsid w:val="00562553"/>
    <w:rsid w:val="00566C2D"/>
    <w:rsid w:val="0056747D"/>
    <w:rsid w:val="005676EA"/>
    <w:rsid w:val="00570257"/>
    <w:rsid w:val="00570A78"/>
    <w:rsid w:val="00570FBA"/>
    <w:rsid w:val="00570FD7"/>
    <w:rsid w:val="00572034"/>
    <w:rsid w:val="00572679"/>
    <w:rsid w:val="0057338D"/>
    <w:rsid w:val="005733D2"/>
    <w:rsid w:val="00573F63"/>
    <w:rsid w:val="00575345"/>
    <w:rsid w:val="0057728C"/>
    <w:rsid w:val="00577B09"/>
    <w:rsid w:val="005805CD"/>
    <w:rsid w:val="00581059"/>
    <w:rsid w:val="00583A97"/>
    <w:rsid w:val="00584D9E"/>
    <w:rsid w:val="005851BB"/>
    <w:rsid w:val="00585666"/>
    <w:rsid w:val="00586F1F"/>
    <w:rsid w:val="0059042D"/>
    <w:rsid w:val="0059142B"/>
    <w:rsid w:val="00591528"/>
    <w:rsid w:val="005933C6"/>
    <w:rsid w:val="00593700"/>
    <w:rsid w:val="00595A49"/>
    <w:rsid w:val="00595A9D"/>
    <w:rsid w:val="005974B5"/>
    <w:rsid w:val="005A0EAD"/>
    <w:rsid w:val="005A1C2E"/>
    <w:rsid w:val="005A3102"/>
    <w:rsid w:val="005A4426"/>
    <w:rsid w:val="005A494A"/>
    <w:rsid w:val="005A6302"/>
    <w:rsid w:val="005B09B8"/>
    <w:rsid w:val="005B0F8C"/>
    <w:rsid w:val="005B18FE"/>
    <w:rsid w:val="005B29FB"/>
    <w:rsid w:val="005B3A8C"/>
    <w:rsid w:val="005B4C84"/>
    <w:rsid w:val="005B6454"/>
    <w:rsid w:val="005B6DFC"/>
    <w:rsid w:val="005B706E"/>
    <w:rsid w:val="005B79C7"/>
    <w:rsid w:val="005C0EDB"/>
    <w:rsid w:val="005C1048"/>
    <w:rsid w:val="005C271A"/>
    <w:rsid w:val="005C2721"/>
    <w:rsid w:val="005C2815"/>
    <w:rsid w:val="005C2BD4"/>
    <w:rsid w:val="005C65FE"/>
    <w:rsid w:val="005C71C1"/>
    <w:rsid w:val="005C7869"/>
    <w:rsid w:val="005C7A86"/>
    <w:rsid w:val="005D057A"/>
    <w:rsid w:val="005D0864"/>
    <w:rsid w:val="005D1754"/>
    <w:rsid w:val="005D490D"/>
    <w:rsid w:val="005D4F64"/>
    <w:rsid w:val="005D53A1"/>
    <w:rsid w:val="005D65EE"/>
    <w:rsid w:val="005D72D1"/>
    <w:rsid w:val="005D7607"/>
    <w:rsid w:val="005E1088"/>
    <w:rsid w:val="005E1791"/>
    <w:rsid w:val="005E2193"/>
    <w:rsid w:val="005E35A4"/>
    <w:rsid w:val="005E3A03"/>
    <w:rsid w:val="005E4B1F"/>
    <w:rsid w:val="005E589D"/>
    <w:rsid w:val="005E6A50"/>
    <w:rsid w:val="005E6B07"/>
    <w:rsid w:val="005E73D0"/>
    <w:rsid w:val="005E78A0"/>
    <w:rsid w:val="005F06AE"/>
    <w:rsid w:val="005F0A4D"/>
    <w:rsid w:val="005F0AAF"/>
    <w:rsid w:val="005F1791"/>
    <w:rsid w:val="005F1CFF"/>
    <w:rsid w:val="005F2099"/>
    <w:rsid w:val="005F2564"/>
    <w:rsid w:val="005F3F7D"/>
    <w:rsid w:val="005F41C4"/>
    <w:rsid w:val="005F44EF"/>
    <w:rsid w:val="005F7BB9"/>
    <w:rsid w:val="005F7F88"/>
    <w:rsid w:val="00600208"/>
    <w:rsid w:val="006015F3"/>
    <w:rsid w:val="00601D70"/>
    <w:rsid w:val="006027E9"/>
    <w:rsid w:val="00602C90"/>
    <w:rsid w:val="00605234"/>
    <w:rsid w:val="00605788"/>
    <w:rsid w:val="00605B81"/>
    <w:rsid w:val="006066E6"/>
    <w:rsid w:val="0060792F"/>
    <w:rsid w:val="00607DF1"/>
    <w:rsid w:val="006127FB"/>
    <w:rsid w:val="006128DE"/>
    <w:rsid w:val="0061290C"/>
    <w:rsid w:val="0061342C"/>
    <w:rsid w:val="00613B3E"/>
    <w:rsid w:val="00613E26"/>
    <w:rsid w:val="006146A6"/>
    <w:rsid w:val="006147D4"/>
    <w:rsid w:val="006161D9"/>
    <w:rsid w:val="0061621E"/>
    <w:rsid w:val="006203C3"/>
    <w:rsid w:val="00620FFF"/>
    <w:rsid w:val="00622073"/>
    <w:rsid w:val="00622F73"/>
    <w:rsid w:val="00624326"/>
    <w:rsid w:val="00625602"/>
    <w:rsid w:val="0062642E"/>
    <w:rsid w:val="00630213"/>
    <w:rsid w:val="00630590"/>
    <w:rsid w:val="00630D18"/>
    <w:rsid w:val="00630F88"/>
    <w:rsid w:val="00631080"/>
    <w:rsid w:val="00631191"/>
    <w:rsid w:val="00634CBF"/>
    <w:rsid w:val="006362D9"/>
    <w:rsid w:val="006363D3"/>
    <w:rsid w:val="0063665C"/>
    <w:rsid w:val="00636CF4"/>
    <w:rsid w:val="0063710B"/>
    <w:rsid w:val="00637877"/>
    <w:rsid w:val="00640A01"/>
    <w:rsid w:val="006416EE"/>
    <w:rsid w:val="0064187A"/>
    <w:rsid w:val="006423E1"/>
    <w:rsid w:val="00643079"/>
    <w:rsid w:val="00644AC8"/>
    <w:rsid w:val="00644B81"/>
    <w:rsid w:val="00645437"/>
    <w:rsid w:val="00646354"/>
    <w:rsid w:val="0064656E"/>
    <w:rsid w:val="00647F31"/>
    <w:rsid w:val="006518BB"/>
    <w:rsid w:val="00654289"/>
    <w:rsid w:val="006554E7"/>
    <w:rsid w:val="00655BC9"/>
    <w:rsid w:val="00656EEA"/>
    <w:rsid w:val="0065716F"/>
    <w:rsid w:val="00657AB8"/>
    <w:rsid w:val="00657D6C"/>
    <w:rsid w:val="00660434"/>
    <w:rsid w:val="00661ADD"/>
    <w:rsid w:val="0066215E"/>
    <w:rsid w:val="00662D73"/>
    <w:rsid w:val="006659D3"/>
    <w:rsid w:val="00665CC1"/>
    <w:rsid w:val="00665D18"/>
    <w:rsid w:val="006663E7"/>
    <w:rsid w:val="00670C1D"/>
    <w:rsid w:val="00672C06"/>
    <w:rsid w:val="00672DF7"/>
    <w:rsid w:val="00672F16"/>
    <w:rsid w:val="00677C27"/>
    <w:rsid w:val="00677ECF"/>
    <w:rsid w:val="006811DB"/>
    <w:rsid w:val="00681D1A"/>
    <w:rsid w:val="00681E31"/>
    <w:rsid w:val="00685BD3"/>
    <w:rsid w:val="00687690"/>
    <w:rsid w:val="006878B3"/>
    <w:rsid w:val="006878E3"/>
    <w:rsid w:val="00687FCB"/>
    <w:rsid w:val="00690844"/>
    <w:rsid w:val="00690908"/>
    <w:rsid w:val="00690988"/>
    <w:rsid w:val="006909C4"/>
    <w:rsid w:val="00692B46"/>
    <w:rsid w:val="0069483E"/>
    <w:rsid w:val="00695C65"/>
    <w:rsid w:val="00695E43"/>
    <w:rsid w:val="006A032E"/>
    <w:rsid w:val="006A0492"/>
    <w:rsid w:val="006A0C26"/>
    <w:rsid w:val="006A1375"/>
    <w:rsid w:val="006A1BD1"/>
    <w:rsid w:val="006A2134"/>
    <w:rsid w:val="006A52D1"/>
    <w:rsid w:val="006A5414"/>
    <w:rsid w:val="006A55C8"/>
    <w:rsid w:val="006A61BB"/>
    <w:rsid w:val="006B0215"/>
    <w:rsid w:val="006B1315"/>
    <w:rsid w:val="006B177B"/>
    <w:rsid w:val="006B181F"/>
    <w:rsid w:val="006B1946"/>
    <w:rsid w:val="006B4FBE"/>
    <w:rsid w:val="006B5400"/>
    <w:rsid w:val="006B6321"/>
    <w:rsid w:val="006B7E3D"/>
    <w:rsid w:val="006C14C8"/>
    <w:rsid w:val="006C1C83"/>
    <w:rsid w:val="006C25EA"/>
    <w:rsid w:val="006C2718"/>
    <w:rsid w:val="006C2B3D"/>
    <w:rsid w:val="006C517B"/>
    <w:rsid w:val="006C6CAA"/>
    <w:rsid w:val="006D2DC3"/>
    <w:rsid w:val="006D320E"/>
    <w:rsid w:val="006D3475"/>
    <w:rsid w:val="006D356C"/>
    <w:rsid w:val="006D3847"/>
    <w:rsid w:val="006D451D"/>
    <w:rsid w:val="006D5358"/>
    <w:rsid w:val="006D5A69"/>
    <w:rsid w:val="006D5EE1"/>
    <w:rsid w:val="006D6C4C"/>
    <w:rsid w:val="006D7D5C"/>
    <w:rsid w:val="006D7F2C"/>
    <w:rsid w:val="006E0CEB"/>
    <w:rsid w:val="006E162E"/>
    <w:rsid w:val="006E1BA7"/>
    <w:rsid w:val="006E1D4F"/>
    <w:rsid w:val="006E33A1"/>
    <w:rsid w:val="006E38C3"/>
    <w:rsid w:val="006E751D"/>
    <w:rsid w:val="006F19A9"/>
    <w:rsid w:val="006F1CCC"/>
    <w:rsid w:val="006F376C"/>
    <w:rsid w:val="006F46D8"/>
    <w:rsid w:val="006F52DF"/>
    <w:rsid w:val="006F5348"/>
    <w:rsid w:val="006F75F0"/>
    <w:rsid w:val="006F7FCD"/>
    <w:rsid w:val="00700983"/>
    <w:rsid w:val="00700C42"/>
    <w:rsid w:val="00701075"/>
    <w:rsid w:val="0070184B"/>
    <w:rsid w:val="00703BE9"/>
    <w:rsid w:val="00703DD6"/>
    <w:rsid w:val="00703E84"/>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22570"/>
    <w:rsid w:val="00723421"/>
    <w:rsid w:val="007239B5"/>
    <w:rsid w:val="007241CA"/>
    <w:rsid w:val="00725D8B"/>
    <w:rsid w:val="007270B7"/>
    <w:rsid w:val="0073176A"/>
    <w:rsid w:val="007326FD"/>
    <w:rsid w:val="00733307"/>
    <w:rsid w:val="00734A09"/>
    <w:rsid w:val="00737EEA"/>
    <w:rsid w:val="007402E2"/>
    <w:rsid w:val="00740314"/>
    <w:rsid w:val="00741596"/>
    <w:rsid w:val="00741E23"/>
    <w:rsid w:val="0074282F"/>
    <w:rsid w:val="00743AB0"/>
    <w:rsid w:val="00745110"/>
    <w:rsid w:val="00746E63"/>
    <w:rsid w:val="0075259F"/>
    <w:rsid w:val="00753207"/>
    <w:rsid w:val="007532AE"/>
    <w:rsid w:val="00755678"/>
    <w:rsid w:val="00755A4E"/>
    <w:rsid w:val="00755B11"/>
    <w:rsid w:val="00756BF8"/>
    <w:rsid w:val="007572B1"/>
    <w:rsid w:val="00757A29"/>
    <w:rsid w:val="00757F3C"/>
    <w:rsid w:val="00761819"/>
    <w:rsid w:val="0076207B"/>
    <w:rsid w:val="00763E34"/>
    <w:rsid w:val="00764ED4"/>
    <w:rsid w:val="007657BA"/>
    <w:rsid w:val="007665C5"/>
    <w:rsid w:val="007673EC"/>
    <w:rsid w:val="00773FE6"/>
    <w:rsid w:val="00775C43"/>
    <w:rsid w:val="00775D0D"/>
    <w:rsid w:val="007760DF"/>
    <w:rsid w:val="0077760F"/>
    <w:rsid w:val="00781223"/>
    <w:rsid w:val="00783246"/>
    <w:rsid w:val="007834DE"/>
    <w:rsid w:val="00783E7D"/>
    <w:rsid w:val="00784E6F"/>
    <w:rsid w:val="00785590"/>
    <w:rsid w:val="007868D2"/>
    <w:rsid w:val="0078787A"/>
    <w:rsid w:val="00787E6F"/>
    <w:rsid w:val="007902BF"/>
    <w:rsid w:val="00791D03"/>
    <w:rsid w:val="00792F70"/>
    <w:rsid w:val="00794E24"/>
    <w:rsid w:val="00796128"/>
    <w:rsid w:val="007A0475"/>
    <w:rsid w:val="007A18B8"/>
    <w:rsid w:val="007A1A08"/>
    <w:rsid w:val="007A2564"/>
    <w:rsid w:val="007A45F2"/>
    <w:rsid w:val="007A706F"/>
    <w:rsid w:val="007A7CDD"/>
    <w:rsid w:val="007B1242"/>
    <w:rsid w:val="007B3D5F"/>
    <w:rsid w:val="007B4088"/>
    <w:rsid w:val="007B4899"/>
    <w:rsid w:val="007B531E"/>
    <w:rsid w:val="007B55B7"/>
    <w:rsid w:val="007B58A6"/>
    <w:rsid w:val="007B5AE1"/>
    <w:rsid w:val="007C0482"/>
    <w:rsid w:val="007C067F"/>
    <w:rsid w:val="007C1854"/>
    <w:rsid w:val="007C2468"/>
    <w:rsid w:val="007C282B"/>
    <w:rsid w:val="007C296A"/>
    <w:rsid w:val="007C373C"/>
    <w:rsid w:val="007C3C16"/>
    <w:rsid w:val="007C6C28"/>
    <w:rsid w:val="007D0D60"/>
    <w:rsid w:val="007D17AC"/>
    <w:rsid w:val="007D2D22"/>
    <w:rsid w:val="007D3B29"/>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8013FB"/>
    <w:rsid w:val="00801C18"/>
    <w:rsid w:val="00803121"/>
    <w:rsid w:val="0080331A"/>
    <w:rsid w:val="00804888"/>
    <w:rsid w:val="00804DA7"/>
    <w:rsid w:val="00804F55"/>
    <w:rsid w:val="00804F76"/>
    <w:rsid w:val="00806C0C"/>
    <w:rsid w:val="00806F49"/>
    <w:rsid w:val="0080700A"/>
    <w:rsid w:val="00807ABB"/>
    <w:rsid w:val="008101B6"/>
    <w:rsid w:val="0081069D"/>
    <w:rsid w:val="00811C83"/>
    <w:rsid w:val="00812E74"/>
    <w:rsid w:val="00813171"/>
    <w:rsid w:val="00815DA9"/>
    <w:rsid w:val="008167E4"/>
    <w:rsid w:val="0082007C"/>
    <w:rsid w:val="0082261D"/>
    <w:rsid w:val="00822698"/>
    <w:rsid w:val="0082359C"/>
    <w:rsid w:val="00823852"/>
    <w:rsid w:val="00823A62"/>
    <w:rsid w:val="0082470F"/>
    <w:rsid w:val="00825290"/>
    <w:rsid w:val="00825F7F"/>
    <w:rsid w:val="00831AF3"/>
    <w:rsid w:val="00833CB3"/>
    <w:rsid w:val="008357E8"/>
    <w:rsid w:val="0083586C"/>
    <w:rsid w:val="008379C6"/>
    <w:rsid w:val="008401EE"/>
    <w:rsid w:val="0084100D"/>
    <w:rsid w:val="0084458A"/>
    <w:rsid w:val="00845931"/>
    <w:rsid w:val="00845C31"/>
    <w:rsid w:val="00847591"/>
    <w:rsid w:val="00850480"/>
    <w:rsid w:val="00852462"/>
    <w:rsid w:val="008537DF"/>
    <w:rsid w:val="00853D97"/>
    <w:rsid w:val="00853EF9"/>
    <w:rsid w:val="008565BE"/>
    <w:rsid w:val="00856A31"/>
    <w:rsid w:val="0085753A"/>
    <w:rsid w:val="0085757B"/>
    <w:rsid w:val="0086076C"/>
    <w:rsid w:val="00860BC2"/>
    <w:rsid w:val="00862A2D"/>
    <w:rsid w:val="00862B3D"/>
    <w:rsid w:val="0086613D"/>
    <w:rsid w:val="0086750F"/>
    <w:rsid w:val="00867909"/>
    <w:rsid w:val="0087054C"/>
    <w:rsid w:val="00871621"/>
    <w:rsid w:val="0087178E"/>
    <w:rsid w:val="0087188C"/>
    <w:rsid w:val="0087200B"/>
    <w:rsid w:val="008731D3"/>
    <w:rsid w:val="00874553"/>
    <w:rsid w:val="008772FB"/>
    <w:rsid w:val="00877983"/>
    <w:rsid w:val="00877D0D"/>
    <w:rsid w:val="00877E63"/>
    <w:rsid w:val="0088358D"/>
    <w:rsid w:val="0088375C"/>
    <w:rsid w:val="00883C00"/>
    <w:rsid w:val="00884198"/>
    <w:rsid w:val="008845D8"/>
    <w:rsid w:val="008852C6"/>
    <w:rsid w:val="00886892"/>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33EA"/>
    <w:rsid w:val="008A3A28"/>
    <w:rsid w:val="008A3B4D"/>
    <w:rsid w:val="008A6280"/>
    <w:rsid w:val="008A7F6C"/>
    <w:rsid w:val="008B081B"/>
    <w:rsid w:val="008B1083"/>
    <w:rsid w:val="008B1A5F"/>
    <w:rsid w:val="008B2669"/>
    <w:rsid w:val="008B28E6"/>
    <w:rsid w:val="008B3688"/>
    <w:rsid w:val="008B3AF1"/>
    <w:rsid w:val="008B4206"/>
    <w:rsid w:val="008B6DC8"/>
    <w:rsid w:val="008B700B"/>
    <w:rsid w:val="008B71A8"/>
    <w:rsid w:val="008B7AB7"/>
    <w:rsid w:val="008B7EF2"/>
    <w:rsid w:val="008C1A19"/>
    <w:rsid w:val="008C1C73"/>
    <w:rsid w:val="008C1C92"/>
    <w:rsid w:val="008C23BC"/>
    <w:rsid w:val="008C7EDE"/>
    <w:rsid w:val="008D1637"/>
    <w:rsid w:val="008D167F"/>
    <w:rsid w:val="008D2DF1"/>
    <w:rsid w:val="008D2E0C"/>
    <w:rsid w:val="008D322A"/>
    <w:rsid w:val="008D398D"/>
    <w:rsid w:val="008D4A1D"/>
    <w:rsid w:val="008D6D1A"/>
    <w:rsid w:val="008D6FB6"/>
    <w:rsid w:val="008D7F60"/>
    <w:rsid w:val="008D7FF6"/>
    <w:rsid w:val="008E1E1B"/>
    <w:rsid w:val="008E20F0"/>
    <w:rsid w:val="008E21F6"/>
    <w:rsid w:val="008E2DCF"/>
    <w:rsid w:val="008E58A6"/>
    <w:rsid w:val="008E6145"/>
    <w:rsid w:val="008E6DEA"/>
    <w:rsid w:val="008E7C49"/>
    <w:rsid w:val="008F03A0"/>
    <w:rsid w:val="008F0D48"/>
    <w:rsid w:val="008F0F68"/>
    <w:rsid w:val="008F1F76"/>
    <w:rsid w:val="008F21FB"/>
    <w:rsid w:val="008F3E70"/>
    <w:rsid w:val="008F44CC"/>
    <w:rsid w:val="008F535A"/>
    <w:rsid w:val="008F7ADF"/>
    <w:rsid w:val="009012BC"/>
    <w:rsid w:val="009014B0"/>
    <w:rsid w:val="00901789"/>
    <w:rsid w:val="0090197C"/>
    <w:rsid w:val="00901C30"/>
    <w:rsid w:val="00902BE9"/>
    <w:rsid w:val="00904253"/>
    <w:rsid w:val="0090482B"/>
    <w:rsid w:val="009054B5"/>
    <w:rsid w:val="0090623C"/>
    <w:rsid w:val="00906E72"/>
    <w:rsid w:val="00907B9B"/>
    <w:rsid w:val="00910AAD"/>
    <w:rsid w:val="00910E88"/>
    <w:rsid w:val="0091113D"/>
    <w:rsid w:val="00913286"/>
    <w:rsid w:val="00915DCB"/>
    <w:rsid w:val="00917455"/>
    <w:rsid w:val="0091765E"/>
    <w:rsid w:val="00920D8C"/>
    <w:rsid w:val="009215E2"/>
    <w:rsid w:val="0092282C"/>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7154C"/>
    <w:rsid w:val="009720E3"/>
    <w:rsid w:val="0097272C"/>
    <w:rsid w:val="009727F7"/>
    <w:rsid w:val="00972C59"/>
    <w:rsid w:val="009735E1"/>
    <w:rsid w:val="0097436C"/>
    <w:rsid w:val="00974B98"/>
    <w:rsid w:val="00977A5D"/>
    <w:rsid w:val="00980B47"/>
    <w:rsid w:val="00980D1B"/>
    <w:rsid w:val="00981FBF"/>
    <w:rsid w:val="00983175"/>
    <w:rsid w:val="00983759"/>
    <w:rsid w:val="009837A9"/>
    <w:rsid w:val="00983F96"/>
    <w:rsid w:val="009840D3"/>
    <w:rsid w:val="009840EC"/>
    <w:rsid w:val="009843B1"/>
    <w:rsid w:val="00985265"/>
    <w:rsid w:val="0098715E"/>
    <w:rsid w:val="00990BC5"/>
    <w:rsid w:val="0099322F"/>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84F"/>
    <w:rsid w:val="009A5D2E"/>
    <w:rsid w:val="009A7E40"/>
    <w:rsid w:val="009B10AC"/>
    <w:rsid w:val="009B1404"/>
    <w:rsid w:val="009B18E8"/>
    <w:rsid w:val="009B19BA"/>
    <w:rsid w:val="009B1AE8"/>
    <w:rsid w:val="009B2FAB"/>
    <w:rsid w:val="009B407F"/>
    <w:rsid w:val="009B4634"/>
    <w:rsid w:val="009B46A1"/>
    <w:rsid w:val="009B6212"/>
    <w:rsid w:val="009C36F3"/>
    <w:rsid w:val="009C5F21"/>
    <w:rsid w:val="009D0C32"/>
    <w:rsid w:val="009D1361"/>
    <w:rsid w:val="009D1453"/>
    <w:rsid w:val="009D2394"/>
    <w:rsid w:val="009D2813"/>
    <w:rsid w:val="009D54BD"/>
    <w:rsid w:val="009D7F19"/>
    <w:rsid w:val="009D7F8B"/>
    <w:rsid w:val="009E0C6B"/>
    <w:rsid w:val="009E0E6E"/>
    <w:rsid w:val="009E270E"/>
    <w:rsid w:val="009E45A0"/>
    <w:rsid w:val="009E47D4"/>
    <w:rsid w:val="009E4BA4"/>
    <w:rsid w:val="009E5EA4"/>
    <w:rsid w:val="009E651D"/>
    <w:rsid w:val="009E741C"/>
    <w:rsid w:val="009F02CB"/>
    <w:rsid w:val="009F2488"/>
    <w:rsid w:val="009F3E01"/>
    <w:rsid w:val="009F4319"/>
    <w:rsid w:val="009F62D4"/>
    <w:rsid w:val="009F6EDD"/>
    <w:rsid w:val="009F7593"/>
    <w:rsid w:val="009F7E90"/>
    <w:rsid w:val="00A002D0"/>
    <w:rsid w:val="00A00354"/>
    <w:rsid w:val="00A02B4D"/>
    <w:rsid w:val="00A02BD3"/>
    <w:rsid w:val="00A037F8"/>
    <w:rsid w:val="00A04149"/>
    <w:rsid w:val="00A042A9"/>
    <w:rsid w:val="00A044DB"/>
    <w:rsid w:val="00A0652F"/>
    <w:rsid w:val="00A0659D"/>
    <w:rsid w:val="00A06822"/>
    <w:rsid w:val="00A116B5"/>
    <w:rsid w:val="00A116F2"/>
    <w:rsid w:val="00A124AE"/>
    <w:rsid w:val="00A1354F"/>
    <w:rsid w:val="00A13AAD"/>
    <w:rsid w:val="00A13C26"/>
    <w:rsid w:val="00A15847"/>
    <w:rsid w:val="00A160B3"/>
    <w:rsid w:val="00A1699F"/>
    <w:rsid w:val="00A177B8"/>
    <w:rsid w:val="00A17D38"/>
    <w:rsid w:val="00A20766"/>
    <w:rsid w:val="00A20CF4"/>
    <w:rsid w:val="00A21239"/>
    <w:rsid w:val="00A223CC"/>
    <w:rsid w:val="00A24441"/>
    <w:rsid w:val="00A264E2"/>
    <w:rsid w:val="00A267A9"/>
    <w:rsid w:val="00A27090"/>
    <w:rsid w:val="00A27435"/>
    <w:rsid w:val="00A27A9E"/>
    <w:rsid w:val="00A30916"/>
    <w:rsid w:val="00A30B1B"/>
    <w:rsid w:val="00A30D03"/>
    <w:rsid w:val="00A346E5"/>
    <w:rsid w:val="00A35B85"/>
    <w:rsid w:val="00A360F8"/>
    <w:rsid w:val="00A36A51"/>
    <w:rsid w:val="00A378F9"/>
    <w:rsid w:val="00A37EA7"/>
    <w:rsid w:val="00A40CF1"/>
    <w:rsid w:val="00A41943"/>
    <w:rsid w:val="00A42BA3"/>
    <w:rsid w:val="00A43117"/>
    <w:rsid w:val="00A4339A"/>
    <w:rsid w:val="00A43BA4"/>
    <w:rsid w:val="00A44132"/>
    <w:rsid w:val="00A44366"/>
    <w:rsid w:val="00A45431"/>
    <w:rsid w:val="00A45ACD"/>
    <w:rsid w:val="00A460DD"/>
    <w:rsid w:val="00A51F16"/>
    <w:rsid w:val="00A53737"/>
    <w:rsid w:val="00A537F1"/>
    <w:rsid w:val="00A53975"/>
    <w:rsid w:val="00A53B0C"/>
    <w:rsid w:val="00A5509A"/>
    <w:rsid w:val="00A5544B"/>
    <w:rsid w:val="00A56990"/>
    <w:rsid w:val="00A56BA6"/>
    <w:rsid w:val="00A5722C"/>
    <w:rsid w:val="00A61209"/>
    <w:rsid w:val="00A635F8"/>
    <w:rsid w:val="00A639F5"/>
    <w:rsid w:val="00A63E5D"/>
    <w:rsid w:val="00A64FFA"/>
    <w:rsid w:val="00A651A9"/>
    <w:rsid w:val="00A669FB"/>
    <w:rsid w:val="00A67040"/>
    <w:rsid w:val="00A6757D"/>
    <w:rsid w:val="00A67AD3"/>
    <w:rsid w:val="00A67FE5"/>
    <w:rsid w:val="00A7291F"/>
    <w:rsid w:val="00A72AEB"/>
    <w:rsid w:val="00A73680"/>
    <w:rsid w:val="00A745A5"/>
    <w:rsid w:val="00A75AA7"/>
    <w:rsid w:val="00A75B57"/>
    <w:rsid w:val="00A769EB"/>
    <w:rsid w:val="00A778B9"/>
    <w:rsid w:val="00A82EBC"/>
    <w:rsid w:val="00A83258"/>
    <w:rsid w:val="00A84ABF"/>
    <w:rsid w:val="00A857BA"/>
    <w:rsid w:val="00A873BF"/>
    <w:rsid w:val="00A87B48"/>
    <w:rsid w:val="00A87C3B"/>
    <w:rsid w:val="00A906B4"/>
    <w:rsid w:val="00A90B01"/>
    <w:rsid w:val="00A90B13"/>
    <w:rsid w:val="00A93205"/>
    <w:rsid w:val="00A943DE"/>
    <w:rsid w:val="00A954C2"/>
    <w:rsid w:val="00A95C0C"/>
    <w:rsid w:val="00A97479"/>
    <w:rsid w:val="00A97634"/>
    <w:rsid w:val="00A977FA"/>
    <w:rsid w:val="00AA074C"/>
    <w:rsid w:val="00AA1077"/>
    <w:rsid w:val="00AA1915"/>
    <w:rsid w:val="00AA290D"/>
    <w:rsid w:val="00AA29F3"/>
    <w:rsid w:val="00AA4D66"/>
    <w:rsid w:val="00AA4E19"/>
    <w:rsid w:val="00AA66E5"/>
    <w:rsid w:val="00AB152E"/>
    <w:rsid w:val="00AB19A9"/>
    <w:rsid w:val="00AB19FF"/>
    <w:rsid w:val="00AB2589"/>
    <w:rsid w:val="00AB274C"/>
    <w:rsid w:val="00AB3FE2"/>
    <w:rsid w:val="00AB525E"/>
    <w:rsid w:val="00AB573C"/>
    <w:rsid w:val="00AB659E"/>
    <w:rsid w:val="00AB7521"/>
    <w:rsid w:val="00AB79CD"/>
    <w:rsid w:val="00AC0A83"/>
    <w:rsid w:val="00AC0DD2"/>
    <w:rsid w:val="00AC11FA"/>
    <w:rsid w:val="00AC12AA"/>
    <w:rsid w:val="00AC19EB"/>
    <w:rsid w:val="00AC470E"/>
    <w:rsid w:val="00AC4762"/>
    <w:rsid w:val="00AC4947"/>
    <w:rsid w:val="00AC5033"/>
    <w:rsid w:val="00AC6489"/>
    <w:rsid w:val="00AC687C"/>
    <w:rsid w:val="00AC6A42"/>
    <w:rsid w:val="00AC78EF"/>
    <w:rsid w:val="00AC791D"/>
    <w:rsid w:val="00AD179B"/>
    <w:rsid w:val="00AD224E"/>
    <w:rsid w:val="00AD23CC"/>
    <w:rsid w:val="00AD248B"/>
    <w:rsid w:val="00AD26E6"/>
    <w:rsid w:val="00AD353D"/>
    <w:rsid w:val="00AD35C6"/>
    <w:rsid w:val="00AD3885"/>
    <w:rsid w:val="00AD4487"/>
    <w:rsid w:val="00AD50C2"/>
    <w:rsid w:val="00AD5229"/>
    <w:rsid w:val="00AD5780"/>
    <w:rsid w:val="00AD5FDC"/>
    <w:rsid w:val="00AD727B"/>
    <w:rsid w:val="00AD7547"/>
    <w:rsid w:val="00AE0219"/>
    <w:rsid w:val="00AE0757"/>
    <w:rsid w:val="00AE1C16"/>
    <w:rsid w:val="00AE312D"/>
    <w:rsid w:val="00AE32A8"/>
    <w:rsid w:val="00AE444A"/>
    <w:rsid w:val="00AE5774"/>
    <w:rsid w:val="00AE7988"/>
    <w:rsid w:val="00AF108A"/>
    <w:rsid w:val="00AF17B7"/>
    <w:rsid w:val="00AF440F"/>
    <w:rsid w:val="00AF4D83"/>
    <w:rsid w:val="00AF5C92"/>
    <w:rsid w:val="00AF5E03"/>
    <w:rsid w:val="00AF76B2"/>
    <w:rsid w:val="00AF790C"/>
    <w:rsid w:val="00AF7A46"/>
    <w:rsid w:val="00B008CE"/>
    <w:rsid w:val="00B0116C"/>
    <w:rsid w:val="00B01178"/>
    <w:rsid w:val="00B01B53"/>
    <w:rsid w:val="00B027C1"/>
    <w:rsid w:val="00B0371E"/>
    <w:rsid w:val="00B05274"/>
    <w:rsid w:val="00B053A9"/>
    <w:rsid w:val="00B062FE"/>
    <w:rsid w:val="00B06F06"/>
    <w:rsid w:val="00B1104E"/>
    <w:rsid w:val="00B134CD"/>
    <w:rsid w:val="00B139FB"/>
    <w:rsid w:val="00B15A5D"/>
    <w:rsid w:val="00B16156"/>
    <w:rsid w:val="00B163F6"/>
    <w:rsid w:val="00B166DF"/>
    <w:rsid w:val="00B207F4"/>
    <w:rsid w:val="00B2122A"/>
    <w:rsid w:val="00B215AE"/>
    <w:rsid w:val="00B21C5F"/>
    <w:rsid w:val="00B22C8E"/>
    <w:rsid w:val="00B23BEB"/>
    <w:rsid w:val="00B23D9A"/>
    <w:rsid w:val="00B255DF"/>
    <w:rsid w:val="00B26867"/>
    <w:rsid w:val="00B27B3E"/>
    <w:rsid w:val="00B27F67"/>
    <w:rsid w:val="00B30003"/>
    <w:rsid w:val="00B304FF"/>
    <w:rsid w:val="00B32515"/>
    <w:rsid w:val="00B32DDF"/>
    <w:rsid w:val="00B33655"/>
    <w:rsid w:val="00B33CA4"/>
    <w:rsid w:val="00B37AD3"/>
    <w:rsid w:val="00B37FA2"/>
    <w:rsid w:val="00B4065D"/>
    <w:rsid w:val="00B411D0"/>
    <w:rsid w:val="00B41FA3"/>
    <w:rsid w:val="00B420A5"/>
    <w:rsid w:val="00B425E3"/>
    <w:rsid w:val="00B4282C"/>
    <w:rsid w:val="00B4460E"/>
    <w:rsid w:val="00B44908"/>
    <w:rsid w:val="00B46A39"/>
    <w:rsid w:val="00B46D6D"/>
    <w:rsid w:val="00B47B17"/>
    <w:rsid w:val="00B47D47"/>
    <w:rsid w:val="00B47FC4"/>
    <w:rsid w:val="00B5311D"/>
    <w:rsid w:val="00B53200"/>
    <w:rsid w:val="00B5361A"/>
    <w:rsid w:val="00B54CE9"/>
    <w:rsid w:val="00B55767"/>
    <w:rsid w:val="00B57A20"/>
    <w:rsid w:val="00B61329"/>
    <w:rsid w:val="00B6206D"/>
    <w:rsid w:val="00B62E8D"/>
    <w:rsid w:val="00B63006"/>
    <w:rsid w:val="00B637A1"/>
    <w:rsid w:val="00B63CA3"/>
    <w:rsid w:val="00B63EF2"/>
    <w:rsid w:val="00B65A3C"/>
    <w:rsid w:val="00B67158"/>
    <w:rsid w:val="00B70EE0"/>
    <w:rsid w:val="00B7196C"/>
    <w:rsid w:val="00B7480E"/>
    <w:rsid w:val="00B76635"/>
    <w:rsid w:val="00B768ED"/>
    <w:rsid w:val="00B77674"/>
    <w:rsid w:val="00B80314"/>
    <w:rsid w:val="00B8486B"/>
    <w:rsid w:val="00B849CA"/>
    <w:rsid w:val="00B86387"/>
    <w:rsid w:val="00B9034A"/>
    <w:rsid w:val="00B90E1E"/>
    <w:rsid w:val="00B91DA2"/>
    <w:rsid w:val="00B920BF"/>
    <w:rsid w:val="00B92D53"/>
    <w:rsid w:val="00B93021"/>
    <w:rsid w:val="00B93612"/>
    <w:rsid w:val="00B93AB5"/>
    <w:rsid w:val="00B9482C"/>
    <w:rsid w:val="00B966E0"/>
    <w:rsid w:val="00BA2E4C"/>
    <w:rsid w:val="00BA2EBB"/>
    <w:rsid w:val="00BA32F7"/>
    <w:rsid w:val="00BA6AB0"/>
    <w:rsid w:val="00BB1A3E"/>
    <w:rsid w:val="00BB325B"/>
    <w:rsid w:val="00BB4199"/>
    <w:rsid w:val="00BB45E3"/>
    <w:rsid w:val="00BB6095"/>
    <w:rsid w:val="00BB6542"/>
    <w:rsid w:val="00BB65E7"/>
    <w:rsid w:val="00BB73CF"/>
    <w:rsid w:val="00BB76F2"/>
    <w:rsid w:val="00BB7C3E"/>
    <w:rsid w:val="00BC03E5"/>
    <w:rsid w:val="00BC1F58"/>
    <w:rsid w:val="00BC279E"/>
    <w:rsid w:val="00BC2FD8"/>
    <w:rsid w:val="00BC31E4"/>
    <w:rsid w:val="00BC4017"/>
    <w:rsid w:val="00BC499B"/>
    <w:rsid w:val="00BC5595"/>
    <w:rsid w:val="00BC761F"/>
    <w:rsid w:val="00BC7666"/>
    <w:rsid w:val="00BC7D06"/>
    <w:rsid w:val="00BD057C"/>
    <w:rsid w:val="00BD379C"/>
    <w:rsid w:val="00BD4C7A"/>
    <w:rsid w:val="00BD6E03"/>
    <w:rsid w:val="00BD783C"/>
    <w:rsid w:val="00BE0B11"/>
    <w:rsid w:val="00BE18A9"/>
    <w:rsid w:val="00BE19A6"/>
    <w:rsid w:val="00BE218E"/>
    <w:rsid w:val="00BE2C47"/>
    <w:rsid w:val="00BE2FAD"/>
    <w:rsid w:val="00BE3021"/>
    <w:rsid w:val="00BE3F9F"/>
    <w:rsid w:val="00BE3FBE"/>
    <w:rsid w:val="00BE5264"/>
    <w:rsid w:val="00BE6EFC"/>
    <w:rsid w:val="00BF03B0"/>
    <w:rsid w:val="00BF09EB"/>
    <w:rsid w:val="00BF0BCD"/>
    <w:rsid w:val="00BF1AD6"/>
    <w:rsid w:val="00BF2417"/>
    <w:rsid w:val="00BF266F"/>
    <w:rsid w:val="00BF2D28"/>
    <w:rsid w:val="00BF3705"/>
    <w:rsid w:val="00BF3745"/>
    <w:rsid w:val="00BF39AE"/>
    <w:rsid w:val="00BF5DF3"/>
    <w:rsid w:val="00BF6012"/>
    <w:rsid w:val="00BF63AD"/>
    <w:rsid w:val="00BF6825"/>
    <w:rsid w:val="00C0187B"/>
    <w:rsid w:val="00C039A6"/>
    <w:rsid w:val="00C0427F"/>
    <w:rsid w:val="00C0553E"/>
    <w:rsid w:val="00C060BC"/>
    <w:rsid w:val="00C10148"/>
    <w:rsid w:val="00C1279E"/>
    <w:rsid w:val="00C12B1C"/>
    <w:rsid w:val="00C153EA"/>
    <w:rsid w:val="00C15630"/>
    <w:rsid w:val="00C20552"/>
    <w:rsid w:val="00C20ABD"/>
    <w:rsid w:val="00C215A4"/>
    <w:rsid w:val="00C21686"/>
    <w:rsid w:val="00C21A45"/>
    <w:rsid w:val="00C22CB3"/>
    <w:rsid w:val="00C23712"/>
    <w:rsid w:val="00C239CD"/>
    <w:rsid w:val="00C23B00"/>
    <w:rsid w:val="00C24AE0"/>
    <w:rsid w:val="00C306DF"/>
    <w:rsid w:val="00C30827"/>
    <w:rsid w:val="00C30EBF"/>
    <w:rsid w:val="00C328F9"/>
    <w:rsid w:val="00C33ACB"/>
    <w:rsid w:val="00C33D43"/>
    <w:rsid w:val="00C3689F"/>
    <w:rsid w:val="00C36FEB"/>
    <w:rsid w:val="00C37483"/>
    <w:rsid w:val="00C40D98"/>
    <w:rsid w:val="00C40E19"/>
    <w:rsid w:val="00C41603"/>
    <w:rsid w:val="00C4166B"/>
    <w:rsid w:val="00C42A2C"/>
    <w:rsid w:val="00C430B3"/>
    <w:rsid w:val="00C456D3"/>
    <w:rsid w:val="00C45ECF"/>
    <w:rsid w:val="00C467E8"/>
    <w:rsid w:val="00C47515"/>
    <w:rsid w:val="00C47D5C"/>
    <w:rsid w:val="00C538EE"/>
    <w:rsid w:val="00C54D19"/>
    <w:rsid w:val="00C56139"/>
    <w:rsid w:val="00C56183"/>
    <w:rsid w:val="00C56A03"/>
    <w:rsid w:val="00C605A0"/>
    <w:rsid w:val="00C61306"/>
    <w:rsid w:val="00C61AE6"/>
    <w:rsid w:val="00C63B91"/>
    <w:rsid w:val="00C6552E"/>
    <w:rsid w:val="00C6770A"/>
    <w:rsid w:val="00C67E8E"/>
    <w:rsid w:val="00C707D3"/>
    <w:rsid w:val="00C711F5"/>
    <w:rsid w:val="00C71353"/>
    <w:rsid w:val="00C717F1"/>
    <w:rsid w:val="00C72502"/>
    <w:rsid w:val="00C72D0D"/>
    <w:rsid w:val="00C74CE3"/>
    <w:rsid w:val="00C75028"/>
    <w:rsid w:val="00C75C57"/>
    <w:rsid w:val="00C7774D"/>
    <w:rsid w:val="00C80BFF"/>
    <w:rsid w:val="00C81BB6"/>
    <w:rsid w:val="00C8527F"/>
    <w:rsid w:val="00C852DC"/>
    <w:rsid w:val="00C85F9E"/>
    <w:rsid w:val="00C86956"/>
    <w:rsid w:val="00C8787A"/>
    <w:rsid w:val="00C91496"/>
    <w:rsid w:val="00C91E37"/>
    <w:rsid w:val="00C921E4"/>
    <w:rsid w:val="00C94C4A"/>
    <w:rsid w:val="00C95287"/>
    <w:rsid w:val="00C95C3A"/>
    <w:rsid w:val="00C95ED9"/>
    <w:rsid w:val="00C977E4"/>
    <w:rsid w:val="00C97A82"/>
    <w:rsid w:val="00CA118E"/>
    <w:rsid w:val="00CA12B6"/>
    <w:rsid w:val="00CA1C5A"/>
    <w:rsid w:val="00CA3C74"/>
    <w:rsid w:val="00CA4568"/>
    <w:rsid w:val="00CA5A19"/>
    <w:rsid w:val="00CA5A61"/>
    <w:rsid w:val="00CA7157"/>
    <w:rsid w:val="00CB0BE2"/>
    <w:rsid w:val="00CB33BC"/>
    <w:rsid w:val="00CB486A"/>
    <w:rsid w:val="00CB72D3"/>
    <w:rsid w:val="00CC03E6"/>
    <w:rsid w:val="00CC2661"/>
    <w:rsid w:val="00CC406E"/>
    <w:rsid w:val="00CC49E0"/>
    <w:rsid w:val="00CC5645"/>
    <w:rsid w:val="00CC5C65"/>
    <w:rsid w:val="00CC6094"/>
    <w:rsid w:val="00CD1437"/>
    <w:rsid w:val="00CD18CA"/>
    <w:rsid w:val="00CD2DB0"/>
    <w:rsid w:val="00CD3035"/>
    <w:rsid w:val="00CD3F18"/>
    <w:rsid w:val="00CE06F2"/>
    <w:rsid w:val="00CE1CD6"/>
    <w:rsid w:val="00CE210C"/>
    <w:rsid w:val="00CE26E4"/>
    <w:rsid w:val="00CE2D03"/>
    <w:rsid w:val="00CE4681"/>
    <w:rsid w:val="00CE671B"/>
    <w:rsid w:val="00CE6EF7"/>
    <w:rsid w:val="00CE740D"/>
    <w:rsid w:val="00CE7EE6"/>
    <w:rsid w:val="00CF0D50"/>
    <w:rsid w:val="00CF17A8"/>
    <w:rsid w:val="00CF31D7"/>
    <w:rsid w:val="00CF31F6"/>
    <w:rsid w:val="00CF419C"/>
    <w:rsid w:val="00CF49DB"/>
    <w:rsid w:val="00CF5836"/>
    <w:rsid w:val="00CF5A65"/>
    <w:rsid w:val="00CF72EE"/>
    <w:rsid w:val="00D00D92"/>
    <w:rsid w:val="00D024F8"/>
    <w:rsid w:val="00D04C36"/>
    <w:rsid w:val="00D05528"/>
    <w:rsid w:val="00D06122"/>
    <w:rsid w:val="00D06C6F"/>
    <w:rsid w:val="00D07AB9"/>
    <w:rsid w:val="00D07DFC"/>
    <w:rsid w:val="00D10DF6"/>
    <w:rsid w:val="00D1268F"/>
    <w:rsid w:val="00D15F6B"/>
    <w:rsid w:val="00D17AB3"/>
    <w:rsid w:val="00D17E12"/>
    <w:rsid w:val="00D2026F"/>
    <w:rsid w:val="00D20C00"/>
    <w:rsid w:val="00D20D99"/>
    <w:rsid w:val="00D2137A"/>
    <w:rsid w:val="00D22319"/>
    <w:rsid w:val="00D228D6"/>
    <w:rsid w:val="00D23156"/>
    <w:rsid w:val="00D2316A"/>
    <w:rsid w:val="00D23EA3"/>
    <w:rsid w:val="00D24206"/>
    <w:rsid w:val="00D252ED"/>
    <w:rsid w:val="00D2532D"/>
    <w:rsid w:val="00D253D2"/>
    <w:rsid w:val="00D2724E"/>
    <w:rsid w:val="00D274AD"/>
    <w:rsid w:val="00D2767E"/>
    <w:rsid w:val="00D3094C"/>
    <w:rsid w:val="00D33E5E"/>
    <w:rsid w:val="00D340F5"/>
    <w:rsid w:val="00D3570D"/>
    <w:rsid w:val="00D36B8B"/>
    <w:rsid w:val="00D4008B"/>
    <w:rsid w:val="00D40DD4"/>
    <w:rsid w:val="00D41735"/>
    <w:rsid w:val="00D4417B"/>
    <w:rsid w:val="00D45201"/>
    <w:rsid w:val="00D4574A"/>
    <w:rsid w:val="00D46368"/>
    <w:rsid w:val="00D47499"/>
    <w:rsid w:val="00D500A0"/>
    <w:rsid w:val="00D50D2A"/>
    <w:rsid w:val="00D52398"/>
    <w:rsid w:val="00D5288D"/>
    <w:rsid w:val="00D5478F"/>
    <w:rsid w:val="00D5501C"/>
    <w:rsid w:val="00D55A42"/>
    <w:rsid w:val="00D56796"/>
    <w:rsid w:val="00D56C4D"/>
    <w:rsid w:val="00D60E83"/>
    <w:rsid w:val="00D61637"/>
    <w:rsid w:val="00D63056"/>
    <w:rsid w:val="00D630A6"/>
    <w:rsid w:val="00D642CB"/>
    <w:rsid w:val="00D677F4"/>
    <w:rsid w:val="00D70D0F"/>
    <w:rsid w:val="00D71B52"/>
    <w:rsid w:val="00D72B26"/>
    <w:rsid w:val="00D73597"/>
    <w:rsid w:val="00D738ED"/>
    <w:rsid w:val="00D73C01"/>
    <w:rsid w:val="00D73EC2"/>
    <w:rsid w:val="00D7415F"/>
    <w:rsid w:val="00D7468B"/>
    <w:rsid w:val="00D75C04"/>
    <w:rsid w:val="00D761EF"/>
    <w:rsid w:val="00D76364"/>
    <w:rsid w:val="00D7670F"/>
    <w:rsid w:val="00D774B5"/>
    <w:rsid w:val="00D77988"/>
    <w:rsid w:val="00D77CE4"/>
    <w:rsid w:val="00D81204"/>
    <w:rsid w:val="00D830A9"/>
    <w:rsid w:val="00D86094"/>
    <w:rsid w:val="00D87982"/>
    <w:rsid w:val="00D90D81"/>
    <w:rsid w:val="00D91EB3"/>
    <w:rsid w:val="00D94749"/>
    <w:rsid w:val="00D949FF"/>
    <w:rsid w:val="00D961CD"/>
    <w:rsid w:val="00DA1D80"/>
    <w:rsid w:val="00DA29E6"/>
    <w:rsid w:val="00DA334C"/>
    <w:rsid w:val="00DA52EB"/>
    <w:rsid w:val="00DA56F6"/>
    <w:rsid w:val="00DA57A2"/>
    <w:rsid w:val="00DA5824"/>
    <w:rsid w:val="00DA6D86"/>
    <w:rsid w:val="00DA7150"/>
    <w:rsid w:val="00DA76A4"/>
    <w:rsid w:val="00DA7759"/>
    <w:rsid w:val="00DB02A8"/>
    <w:rsid w:val="00DB087C"/>
    <w:rsid w:val="00DB0B11"/>
    <w:rsid w:val="00DB1C47"/>
    <w:rsid w:val="00DB22FC"/>
    <w:rsid w:val="00DB261D"/>
    <w:rsid w:val="00DB2A30"/>
    <w:rsid w:val="00DB3014"/>
    <w:rsid w:val="00DB309A"/>
    <w:rsid w:val="00DB336B"/>
    <w:rsid w:val="00DB45D7"/>
    <w:rsid w:val="00DB4CE5"/>
    <w:rsid w:val="00DB61CB"/>
    <w:rsid w:val="00DB664E"/>
    <w:rsid w:val="00DC17B7"/>
    <w:rsid w:val="00DC1F6E"/>
    <w:rsid w:val="00DC26E8"/>
    <w:rsid w:val="00DC3707"/>
    <w:rsid w:val="00DC5C66"/>
    <w:rsid w:val="00DC6D75"/>
    <w:rsid w:val="00DC7BA5"/>
    <w:rsid w:val="00DD077F"/>
    <w:rsid w:val="00DD1096"/>
    <w:rsid w:val="00DD2661"/>
    <w:rsid w:val="00DD2D46"/>
    <w:rsid w:val="00DD2FCB"/>
    <w:rsid w:val="00DD51E1"/>
    <w:rsid w:val="00DD5876"/>
    <w:rsid w:val="00DD6F6F"/>
    <w:rsid w:val="00DD7A62"/>
    <w:rsid w:val="00DE0BE7"/>
    <w:rsid w:val="00DE188C"/>
    <w:rsid w:val="00DE1EDB"/>
    <w:rsid w:val="00DE3303"/>
    <w:rsid w:val="00DE3F2F"/>
    <w:rsid w:val="00DE465D"/>
    <w:rsid w:val="00DE4D3E"/>
    <w:rsid w:val="00DE5790"/>
    <w:rsid w:val="00DE64FF"/>
    <w:rsid w:val="00DF105A"/>
    <w:rsid w:val="00DF1CF8"/>
    <w:rsid w:val="00DF3E4E"/>
    <w:rsid w:val="00DF3FA5"/>
    <w:rsid w:val="00DF4189"/>
    <w:rsid w:val="00DF5C6C"/>
    <w:rsid w:val="00DF601A"/>
    <w:rsid w:val="00DF648C"/>
    <w:rsid w:val="00DF6D7A"/>
    <w:rsid w:val="00DF6F2E"/>
    <w:rsid w:val="00DF6FAA"/>
    <w:rsid w:val="00DF7271"/>
    <w:rsid w:val="00E006A1"/>
    <w:rsid w:val="00E007F1"/>
    <w:rsid w:val="00E00D0E"/>
    <w:rsid w:val="00E0269A"/>
    <w:rsid w:val="00E02B2A"/>
    <w:rsid w:val="00E037A1"/>
    <w:rsid w:val="00E04428"/>
    <w:rsid w:val="00E04E16"/>
    <w:rsid w:val="00E060F2"/>
    <w:rsid w:val="00E066D3"/>
    <w:rsid w:val="00E06B39"/>
    <w:rsid w:val="00E11128"/>
    <w:rsid w:val="00E15297"/>
    <w:rsid w:val="00E153A9"/>
    <w:rsid w:val="00E16942"/>
    <w:rsid w:val="00E2046C"/>
    <w:rsid w:val="00E26C96"/>
    <w:rsid w:val="00E270B5"/>
    <w:rsid w:val="00E2768D"/>
    <w:rsid w:val="00E27B91"/>
    <w:rsid w:val="00E31812"/>
    <w:rsid w:val="00E33C40"/>
    <w:rsid w:val="00E342A0"/>
    <w:rsid w:val="00E34AF8"/>
    <w:rsid w:val="00E34F74"/>
    <w:rsid w:val="00E35FAA"/>
    <w:rsid w:val="00E369C7"/>
    <w:rsid w:val="00E36B07"/>
    <w:rsid w:val="00E37AE4"/>
    <w:rsid w:val="00E40451"/>
    <w:rsid w:val="00E40B8A"/>
    <w:rsid w:val="00E40C55"/>
    <w:rsid w:val="00E41079"/>
    <w:rsid w:val="00E419B6"/>
    <w:rsid w:val="00E422A1"/>
    <w:rsid w:val="00E430D7"/>
    <w:rsid w:val="00E433EF"/>
    <w:rsid w:val="00E434B8"/>
    <w:rsid w:val="00E43D50"/>
    <w:rsid w:val="00E44485"/>
    <w:rsid w:val="00E44E84"/>
    <w:rsid w:val="00E50956"/>
    <w:rsid w:val="00E51665"/>
    <w:rsid w:val="00E53DB1"/>
    <w:rsid w:val="00E55A7D"/>
    <w:rsid w:val="00E55C32"/>
    <w:rsid w:val="00E575BD"/>
    <w:rsid w:val="00E614EF"/>
    <w:rsid w:val="00E620C9"/>
    <w:rsid w:val="00E627D2"/>
    <w:rsid w:val="00E629D6"/>
    <w:rsid w:val="00E62FDA"/>
    <w:rsid w:val="00E6362C"/>
    <w:rsid w:val="00E64A33"/>
    <w:rsid w:val="00E66D93"/>
    <w:rsid w:val="00E67542"/>
    <w:rsid w:val="00E67D29"/>
    <w:rsid w:val="00E73393"/>
    <w:rsid w:val="00E7485D"/>
    <w:rsid w:val="00E74B57"/>
    <w:rsid w:val="00E755F9"/>
    <w:rsid w:val="00E76475"/>
    <w:rsid w:val="00E8264C"/>
    <w:rsid w:val="00E8329F"/>
    <w:rsid w:val="00E83752"/>
    <w:rsid w:val="00E847CD"/>
    <w:rsid w:val="00E8517E"/>
    <w:rsid w:val="00E87F0F"/>
    <w:rsid w:val="00E900E7"/>
    <w:rsid w:val="00E90745"/>
    <w:rsid w:val="00E93532"/>
    <w:rsid w:val="00E943CB"/>
    <w:rsid w:val="00E9588F"/>
    <w:rsid w:val="00E96DA0"/>
    <w:rsid w:val="00E970D8"/>
    <w:rsid w:val="00E97620"/>
    <w:rsid w:val="00E97CB0"/>
    <w:rsid w:val="00EA04A8"/>
    <w:rsid w:val="00EA0C00"/>
    <w:rsid w:val="00EA0E91"/>
    <w:rsid w:val="00EA36FF"/>
    <w:rsid w:val="00EA3B97"/>
    <w:rsid w:val="00EA43C3"/>
    <w:rsid w:val="00EA67BB"/>
    <w:rsid w:val="00EA763C"/>
    <w:rsid w:val="00EB02F3"/>
    <w:rsid w:val="00EB097D"/>
    <w:rsid w:val="00EB1C2A"/>
    <w:rsid w:val="00EB270E"/>
    <w:rsid w:val="00EB4AE0"/>
    <w:rsid w:val="00EB4E56"/>
    <w:rsid w:val="00EB69C3"/>
    <w:rsid w:val="00EB69F9"/>
    <w:rsid w:val="00EC270E"/>
    <w:rsid w:val="00EC295B"/>
    <w:rsid w:val="00EC2AA6"/>
    <w:rsid w:val="00EC3EDD"/>
    <w:rsid w:val="00EC417A"/>
    <w:rsid w:val="00EC43EC"/>
    <w:rsid w:val="00EC6DE7"/>
    <w:rsid w:val="00ED18A6"/>
    <w:rsid w:val="00ED18E7"/>
    <w:rsid w:val="00ED1D67"/>
    <w:rsid w:val="00ED1FE9"/>
    <w:rsid w:val="00ED22A4"/>
    <w:rsid w:val="00ED2471"/>
    <w:rsid w:val="00ED31F9"/>
    <w:rsid w:val="00ED3290"/>
    <w:rsid w:val="00ED52A3"/>
    <w:rsid w:val="00ED5F66"/>
    <w:rsid w:val="00ED643D"/>
    <w:rsid w:val="00EE14D6"/>
    <w:rsid w:val="00EE164D"/>
    <w:rsid w:val="00EE1A35"/>
    <w:rsid w:val="00EE36F5"/>
    <w:rsid w:val="00EE37AB"/>
    <w:rsid w:val="00EE4B08"/>
    <w:rsid w:val="00EE6544"/>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5CF"/>
    <w:rsid w:val="00F00722"/>
    <w:rsid w:val="00F009FD"/>
    <w:rsid w:val="00F00DB7"/>
    <w:rsid w:val="00F0154C"/>
    <w:rsid w:val="00F03F18"/>
    <w:rsid w:val="00F04767"/>
    <w:rsid w:val="00F06377"/>
    <w:rsid w:val="00F1101A"/>
    <w:rsid w:val="00F12389"/>
    <w:rsid w:val="00F1309A"/>
    <w:rsid w:val="00F13AED"/>
    <w:rsid w:val="00F13AFB"/>
    <w:rsid w:val="00F1575E"/>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2CCD"/>
    <w:rsid w:val="00F3358B"/>
    <w:rsid w:val="00F34595"/>
    <w:rsid w:val="00F36C76"/>
    <w:rsid w:val="00F40850"/>
    <w:rsid w:val="00F40C4B"/>
    <w:rsid w:val="00F41AAE"/>
    <w:rsid w:val="00F42981"/>
    <w:rsid w:val="00F4352D"/>
    <w:rsid w:val="00F446B3"/>
    <w:rsid w:val="00F44764"/>
    <w:rsid w:val="00F460C2"/>
    <w:rsid w:val="00F502AC"/>
    <w:rsid w:val="00F51436"/>
    <w:rsid w:val="00F52D5A"/>
    <w:rsid w:val="00F539DE"/>
    <w:rsid w:val="00F5430F"/>
    <w:rsid w:val="00F57576"/>
    <w:rsid w:val="00F57CE8"/>
    <w:rsid w:val="00F57F8F"/>
    <w:rsid w:val="00F60C94"/>
    <w:rsid w:val="00F60DA6"/>
    <w:rsid w:val="00F62466"/>
    <w:rsid w:val="00F63C77"/>
    <w:rsid w:val="00F647F0"/>
    <w:rsid w:val="00F64BAA"/>
    <w:rsid w:val="00F64BF8"/>
    <w:rsid w:val="00F655AC"/>
    <w:rsid w:val="00F658D3"/>
    <w:rsid w:val="00F65B06"/>
    <w:rsid w:val="00F65E9C"/>
    <w:rsid w:val="00F70349"/>
    <w:rsid w:val="00F70AA6"/>
    <w:rsid w:val="00F71605"/>
    <w:rsid w:val="00F71DA5"/>
    <w:rsid w:val="00F7327B"/>
    <w:rsid w:val="00F7401F"/>
    <w:rsid w:val="00F765AA"/>
    <w:rsid w:val="00F76D36"/>
    <w:rsid w:val="00F770B5"/>
    <w:rsid w:val="00F806E8"/>
    <w:rsid w:val="00F8083A"/>
    <w:rsid w:val="00F80CDB"/>
    <w:rsid w:val="00F81063"/>
    <w:rsid w:val="00F849CC"/>
    <w:rsid w:val="00F860C4"/>
    <w:rsid w:val="00F87E41"/>
    <w:rsid w:val="00F909FC"/>
    <w:rsid w:val="00F91020"/>
    <w:rsid w:val="00F9107A"/>
    <w:rsid w:val="00F931A2"/>
    <w:rsid w:val="00F949F6"/>
    <w:rsid w:val="00F96A22"/>
    <w:rsid w:val="00FA025D"/>
    <w:rsid w:val="00FA0CBD"/>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4ABA"/>
    <w:rsid w:val="00FC3BA8"/>
    <w:rsid w:val="00FC5CA1"/>
    <w:rsid w:val="00FC71C7"/>
    <w:rsid w:val="00FC737C"/>
    <w:rsid w:val="00FD0EB4"/>
    <w:rsid w:val="00FD1A90"/>
    <w:rsid w:val="00FD2542"/>
    <w:rsid w:val="00FD294E"/>
    <w:rsid w:val="00FD3249"/>
    <w:rsid w:val="00FD4420"/>
    <w:rsid w:val="00FD6041"/>
    <w:rsid w:val="00FD62B7"/>
    <w:rsid w:val="00FE03FC"/>
    <w:rsid w:val="00FE09C7"/>
    <w:rsid w:val="00FE15D6"/>
    <w:rsid w:val="00FE1788"/>
    <w:rsid w:val="00FE2CDD"/>
    <w:rsid w:val="00FE2EBC"/>
    <w:rsid w:val="00FE5BC8"/>
    <w:rsid w:val="00FE79C7"/>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3A38B072-A30D-409F-B341-41B96723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F3B7-DF9A-4CA1-9723-24E13EEA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Northern Territory Government S59 2017</vt:lpstr>
    </vt:vector>
  </TitlesOfParts>
  <Company>NTG</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S59 2017</dc:title>
  <dc:creator>Northern Territory Government</dc:creator>
  <cp:lastModifiedBy>Leslie Wiseman</cp:lastModifiedBy>
  <cp:revision>13</cp:revision>
  <cp:lastPrinted>2017-08-16T01:21:00Z</cp:lastPrinted>
  <dcterms:created xsi:type="dcterms:W3CDTF">2017-08-15T05:27:00Z</dcterms:created>
  <dcterms:modified xsi:type="dcterms:W3CDTF">2017-08-16T01:22:00Z</dcterms:modified>
  <cp:contentStatus/>
</cp:coreProperties>
</file>