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84458A">
      <w:pPr>
        <w:pStyle w:val="Gazettenoanddate"/>
        <w:tabs>
          <w:tab w:val="left" w:pos="6946"/>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6027E9">
        <w:t>9</w:t>
      </w:r>
      <w:r w:rsidR="00053007">
        <w:tab/>
      </w:r>
      <w:r w:rsidR="006027E9">
        <w:t>16</w:t>
      </w:r>
      <w:r w:rsidR="0084458A">
        <w:t xml:space="preserve"> March</w:t>
      </w:r>
      <w:r w:rsidR="003C04AD">
        <w:t xml:space="preserve"> 2017</w:t>
      </w:r>
    </w:p>
    <w:p w:rsidR="00350FC3" w:rsidRPr="001F2D88" w:rsidRDefault="00350FC3" w:rsidP="00C039A6">
      <w:pPr>
        <w:tabs>
          <w:tab w:val="left" w:pos="8640"/>
        </w:tabs>
        <w:spacing w:before="240" w:after="0" w:line="360" w:lineRule="auto"/>
        <w:jc w:val="center"/>
        <w:rPr>
          <w:spacing w:val="-3"/>
        </w:rPr>
      </w:pPr>
      <w:r w:rsidRPr="00CE1DB8">
        <w:rPr>
          <w:spacing w:val="-3"/>
        </w:rPr>
        <w:t>Northern Territory of Australia</w:t>
      </w:r>
    </w:p>
    <w:p w:rsidR="00350FC3" w:rsidRPr="004C196F" w:rsidRDefault="00350FC3" w:rsidP="00C039A6">
      <w:pPr>
        <w:spacing w:before="0" w:after="0" w:line="360" w:lineRule="auto"/>
        <w:jc w:val="center"/>
        <w:outlineLvl w:val="0"/>
        <w:rPr>
          <w:rFonts w:cs="Helvetica"/>
          <w:i/>
        </w:rPr>
      </w:pPr>
      <w:r>
        <w:rPr>
          <w:rFonts w:cs="Helvetica"/>
          <w:i/>
        </w:rPr>
        <w:t>Medicines, Poisons and Therapeutic Goods Act</w:t>
      </w:r>
    </w:p>
    <w:p w:rsidR="00350FC3" w:rsidRPr="005D2BCA" w:rsidRDefault="00350FC3" w:rsidP="00C039A6">
      <w:pPr>
        <w:spacing w:before="0"/>
        <w:jc w:val="center"/>
        <w:rPr>
          <w:b/>
          <w:spacing w:val="-3"/>
        </w:rPr>
      </w:pPr>
      <w:r>
        <w:rPr>
          <w:b/>
          <w:spacing w:val="-3"/>
        </w:rPr>
        <w:t>Revocation of Approval and Approval of</w:t>
      </w:r>
      <w:r>
        <w:rPr>
          <w:b/>
          <w:spacing w:val="-3"/>
        </w:rPr>
        <w:br/>
        <w:t>Scheduled Substance Treatment Protocol</w:t>
      </w:r>
    </w:p>
    <w:p w:rsidR="00350FC3" w:rsidRDefault="00350FC3" w:rsidP="00350FC3">
      <w:pPr>
        <w:spacing w:after="120" w:line="360" w:lineRule="auto"/>
        <w:jc w:val="both"/>
      </w:pPr>
      <w:r w:rsidRPr="00CE1DB8">
        <w:t xml:space="preserve">I, </w:t>
      </w:r>
      <w:r>
        <w:t>Hugh Crosbie Heggie</w:t>
      </w:r>
      <w:r w:rsidRPr="00CE1DB8">
        <w:t xml:space="preserve">, </w:t>
      </w:r>
      <w:r>
        <w:t>Acting Chief Health Officer:</w:t>
      </w:r>
    </w:p>
    <w:p w:rsidR="00350FC3" w:rsidRDefault="00350FC3" w:rsidP="00350FC3">
      <w:pPr>
        <w:spacing w:after="120" w:line="360" w:lineRule="auto"/>
        <w:ind w:left="720" w:hanging="720"/>
        <w:jc w:val="both"/>
      </w:pPr>
      <w:r>
        <w:t xml:space="preserve">(a) </w:t>
      </w:r>
      <w:r>
        <w:tab/>
      </w:r>
      <w:r w:rsidRPr="00CE1DB8">
        <w:t>under section </w:t>
      </w:r>
      <w:r>
        <w:t xml:space="preserve">254(1)(f) </w:t>
      </w:r>
      <w:r w:rsidRPr="00CE1DB8">
        <w:t xml:space="preserve">of the </w:t>
      </w:r>
      <w:r>
        <w:rPr>
          <w:i/>
        </w:rPr>
        <w:t xml:space="preserve">Medicines, Poisons and Therapeutic Goods </w:t>
      </w:r>
      <w:r w:rsidRPr="00643A83">
        <w:rPr>
          <w:i/>
        </w:rPr>
        <w:t>Act</w:t>
      </w:r>
      <w:r>
        <w:t xml:space="preserve"> and with reference to section 43 of the </w:t>
      </w:r>
      <w:r>
        <w:rPr>
          <w:i/>
        </w:rPr>
        <w:t>Interpretation Act</w:t>
      </w:r>
      <w:r>
        <w:t>, revoke the approval of the Scheduled substance treatment protocol entitled "Pharmacist-Led Administration of Vaccines to Adults at Pharmacy</w:t>
      </w:r>
      <w:r w:rsidR="00512AD8">
        <w:t> </w:t>
      </w:r>
      <w:r>
        <w:t>Premises in the Northern Territory – January 2016"; and</w:t>
      </w:r>
    </w:p>
    <w:p w:rsidR="00350FC3" w:rsidRPr="00CF59F4" w:rsidRDefault="00350FC3" w:rsidP="00350FC3">
      <w:pPr>
        <w:spacing w:after="120" w:line="360" w:lineRule="auto"/>
        <w:ind w:left="720" w:hanging="720"/>
        <w:jc w:val="both"/>
      </w:pPr>
      <w:r>
        <w:t>(b)</w:t>
      </w:r>
      <w:r>
        <w:tab/>
        <w:t xml:space="preserve">under section 254(1)(f) of the </w:t>
      </w:r>
      <w:r>
        <w:rPr>
          <w:i/>
        </w:rPr>
        <w:t>Medicines, Poisons and Therapeutic Goods Act</w:t>
      </w:r>
      <w:r>
        <w:t>, approve the protocol entitled "Pharmacist-Led Administration of Vaccines to Adults at Pharmacy Premises in the Northern Territory" and dated February 2017 for possessing, supplying or administering a Schedule 4 substance at a pharmacy.</w:t>
      </w:r>
    </w:p>
    <w:p w:rsidR="00350FC3" w:rsidRPr="00CE1DB8" w:rsidRDefault="00350FC3" w:rsidP="00350FC3">
      <w:pPr>
        <w:spacing w:line="360" w:lineRule="auto"/>
      </w:pPr>
      <w:r w:rsidRPr="00CE1DB8">
        <w:t>Dated</w:t>
      </w:r>
      <w:r w:rsidR="00C039A6">
        <w:t xml:space="preserve"> 13 March 2017</w:t>
      </w:r>
    </w:p>
    <w:p w:rsidR="00350FC3" w:rsidRPr="00CE1DB8" w:rsidRDefault="00C039A6" w:rsidP="00C039A6">
      <w:pPr>
        <w:tabs>
          <w:tab w:val="left" w:pos="8640"/>
        </w:tabs>
        <w:spacing w:before="240" w:after="0"/>
        <w:jc w:val="right"/>
        <w:rPr>
          <w:spacing w:val="-3"/>
        </w:rPr>
      </w:pPr>
      <w:r>
        <w:rPr>
          <w:spacing w:val="-3"/>
        </w:rPr>
        <w:t>H. C. Heggie</w:t>
      </w:r>
    </w:p>
    <w:p w:rsidR="00350FC3" w:rsidRDefault="00350FC3" w:rsidP="00C039A6">
      <w:pPr>
        <w:tabs>
          <w:tab w:val="left" w:pos="8640"/>
        </w:tabs>
        <w:spacing w:before="0"/>
        <w:jc w:val="right"/>
        <w:rPr>
          <w:spacing w:val="-3"/>
        </w:rPr>
      </w:pPr>
      <w:r>
        <w:rPr>
          <w:spacing w:val="-3"/>
        </w:rPr>
        <w:t>Acting Chief Health Officer</w:t>
      </w:r>
    </w:p>
    <w:p w:rsidR="00B9482C" w:rsidRPr="0066215E" w:rsidRDefault="0066215E" w:rsidP="009D1361">
      <w:pPr>
        <w:pStyle w:val="Heading2"/>
        <w:pageBreakBefore/>
        <w:shd w:val="pct12" w:color="auto" w:fill="FFFFFF"/>
        <w:spacing w:before="0" w:after="120"/>
        <w:ind w:left="-1134" w:right="-1111" w:firstLine="284"/>
        <w:jc w:val="center"/>
        <w:rPr>
          <w:rFonts w:cs="Helvetica"/>
          <w:sz w:val="22"/>
        </w:rPr>
      </w:pPr>
      <w:r w:rsidRPr="0066215E">
        <w:rPr>
          <w:rFonts w:cs="Helvetica"/>
          <w:sz w:val="22"/>
        </w:rPr>
        <w:lastRenderedPageBreak/>
        <w:t>Schedule Substance Treatment Protocol (</w:t>
      </w:r>
      <w:r w:rsidR="00581059" w:rsidRPr="0066215E">
        <w:rPr>
          <w:rFonts w:cs="Helvetica"/>
          <w:sz w:val="22"/>
        </w:rPr>
        <w:t>SSTP)</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Substance Treatment Protocol (SSTP)"/>
      </w:tblPr>
      <w:tblGrid>
        <w:gridCol w:w="1985"/>
        <w:gridCol w:w="3996"/>
        <w:gridCol w:w="2666"/>
        <w:gridCol w:w="2268"/>
      </w:tblGrid>
      <w:tr w:rsidR="00B9482C" w:rsidRPr="0066215E" w:rsidTr="009D1361">
        <w:trPr>
          <w:trHeight w:val="455"/>
        </w:trPr>
        <w:tc>
          <w:tcPr>
            <w:tcW w:w="1985" w:type="dxa"/>
            <w:shd w:val="clear" w:color="auto" w:fill="auto"/>
            <w:vAlign w:val="center"/>
          </w:tcPr>
          <w:p w:rsidR="00B9482C" w:rsidRPr="0066215E" w:rsidRDefault="0066215E" w:rsidP="0029428B">
            <w:pPr>
              <w:spacing w:before="120" w:after="120"/>
              <w:contextualSpacing/>
              <w:rPr>
                <w:rFonts w:cs="Helvetica"/>
                <w:b/>
                <w:sz w:val="22"/>
              </w:rPr>
            </w:pPr>
            <w:r w:rsidRPr="0066215E">
              <w:rPr>
                <w:rFonts w:cs="Helvetica"/>
                <w:b/>
                <w:sz w:val="22"/>
              </w:rPr>
              <w:t>Title</w:t>
            </w:r>
          </w:p>
        </w:tc>
        <w:tc>
          <w:tcPr>
            <w:tcW w:w="8930" w:type="dxa"/>
            <w:gridSpan w:val="3"/>
            <w:shd w:val="clear" w:color="auto" w:fill="auto"/>
            <w:vAlign w:val="center"/>
          </w:tcPr>
          <w:p w:rsidR="00B9482C" w:rsidRPr="0066215E" w:rsidRDefault="0066215E" w:rsidP="0029428B">
            <w:pPr>
              <w:spacing w:before="120" w:after="120"/>
              <w:contextualSpacing/>
              <w:rPr>
                <w:rFonts w:cs="Helvetica"/>
                <w:sz w:val="22"/>
              </w:rPr>
            </w:pPr>
            <w:r w:rsidRPr="0066215E">
              <w:rPr>
                <w:rFonts w:cs="Helvetica"/>
                <w:sz w:val="22"/>
              </w:rPr>
              <w:t xml:space="preserve">Pharmacist-Led Administration </w:t>
            </w:r>
            <w:r w:rsidR="00581059" w:rsidRPr="0066215E">
              <w:rPr>
                <w:rFonts w:cs="Helvetica"/>
                <w:sz w:val="22"/>
              </w:rPr>
              <w:t>o</w:t>
            </w:r>
            <w:r w:rsidRPr="0066215E">
              <w:rPr>
                <w:rFonts w:cs="Helvetica"/>
                <w:sz w:val="22"/>
              </w:rPr>
              <w:t xml:space="preserve">f Vaccines </w:t>
            </w:r>
            <w:r w:rsidR="00581059" w:rsidRPr="0066215E">
              <w:rPr>
                <w:rFonts w:cs="Helvetica"/>
                <w:sz w:val="22"/>
              </w:rPr>
              <w:t>t</w:t>
            </w:r>
            <w:r w:rsidRPr="0066215E">
              <w:rPr>
                <w:rFonts w:cs="Helvetica"/>
                <w:sz w:val="22"/>
              </w:rPr>
              <w:t xml:space="preserve">o Adults </w:t>
            </w:r>
            <w:r w:rsidR="00581059" w:rsidRPr="0066215E">
              <w:rPr>
                <w:rFonts w:cs="Helvetica"/>
                <w:sz w:val="22"/>
              </w:rPr>
              <w:t>a</w:t>
            </w:r>
            <w:r w:rsidRPr="0066215E">
              <w:rPr>
                <w:rFonts w:cs="Helvetica"/>
                <w:sz w:val="22"/>
              </w:rPr>
              <w:t xml:space="preserve">t Pharmacy Premises </w:t>
            </w:r>
            <w:r w:rsidR="00581059" w:rsidRPr="0066215E">
              <w:rPr>
                <w:rFonts w:cs="Helvetica"/>
                <w:sz w:val="22"/>
              </w:rPr>
              <w:t>i</w:t>
            </w:r>
            <w:r w:rsidRPr="0066215E">
              <w:rPr>
                <w:rFonts w:cs="Helvetica"/>
                <w:sz w:val="22"/>
              </w:rPr>
              <w:t xml:space="preserve">n </w:t>
            </w:r>
            <w:r w:rsidR="00581059" w:rsidRPr="0066215E">
              <w:rPr>
                <w:rFonts w:cs="Helvetica"/>
                <w:sz w:val="22"/>
              </w:rPr>
              <w:t>t</w:t>
            </w:r>
            <w:r w:rsidRPr="0066215E">
              <w:rPr>
                <w:rFonts w:cs="Helvetica"/>
                <w:sz w:val="22"/>
              </w:rPr>
              <w:t>he Northern Territory(N</w:t>
            </w:r>
            <w:r w:rsidR="00581059" w:rsidRPr="0066215E">
              <w:rPr>
                <w:rFonts w:cs="Helvetica"/>
                <w:sz w:val="22"/>
              </w:rPr>
              <w:t>T</w:t>
            </w:r>
            <w:r w:rsidRPr="0066215E">
              <w:rPr>
                <w:rFonts w:cs="Helvetica"/>
                <w:sz w:val="22"/>
              </w:rPr>
              <w:t>)</w:t>
            </w:r>
          </w:p>
        </w:tc>
      </w:tr>
      <w:tr w:rsidR="00B9482C" w:rsidRPr="0066215E" w:rsidTr="009D1361">
        <w:trPr>
          <w:trHeight w:val="449"/>
        </w:trPr>
        <w:tc>
          <w:tcPr>
            <w:tcW w:w="1985" w:type="dxa"/>
            <w:tcBorders>
              <w:bottom w:val="single" w:sz="4" w:space="0" w:color="auto"/>
            </w:tcBorders>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Areas Applicable</w:t>
            </w:r>
          </w:p>
        </w:tc>
        <w:tc>
          <w:tcPr>
            <w:tcW w:w="8930" w:type="dxa"/>
            <w:gridSpan w:val="3"/>
            <w:tcBorders>
              <w:bottom w:val="single" w:sz="4" w:space="0" w:color="auto"/>
            </w:tcBorders>
            <w:shd w:val="clear" w:color="auto" w:fill="auto"/>
            <w:vAlign w:val="center"/>
          </w:tcPr>
          <w:p w:rsidR="00B9482C" w:rsidRPr="0066215E" w:rsidRDefault="00B9482C" w:rsidP="0029428B">
            <w:pPr>
              <w:tabs>
                <w:tab w:val="left" w:pos="4166"/>
              </w:tabs>
              <w:spacing w:before="120" w:after="120"/>
              <w:contextualSpacing/>
              <w:rPr>
                <w:rFonts w:cs="Helvetica"/>
                <w:sz w:val="22"/>
              </w:rPr>
            </w:pPr>
            <w:r w:rsidRPr="0066215E">
              <w:rPr>
                <w:rFonts w:cs="Helvetica"/>
                <w:sz w:val="22"/>
              </w:rPr>
              <w:t xml:space="preserve">Pharmacists administering vaccinations </w:t>
            </w:r>
            <w:r w:rsidR="00CE210C">
              <w:rPr>
                <w:rFonts w:cs="Helvetica"/>
                <w:sz w:val="22"/>
              </w:rPr>
              <w:t>at</w:t>
            </w:r>
            <w:r w:rsidRPr="0066215E">
              <w:rPr>
                <w:rFonts w:cs="Helvetica"/>
                <w:sz w:val="22"/>
              </w:rPr>
              <w:t xml:space="preserve"> pha</w:t>
            </w:r>
            <w:bookmarkStart w:id="4" w:name="_GoBack"/>
            <w:bookmarkEnd w:id="4"/>
            <w:r w:rsidRPr="0066215E">
              <w:rPr>
                <w:rFonts w:cs="Helvetica"/>
                <w:sz w:val="22"/>
              </w:rPr>
              <w:t>rmacy premises</w:t>
            </w:r>
          </w:p>
        </w:tc>
      </w:tr>
      <w:tr w:rsidR="00B9482C" w:rsidRPr="0066215E" w:rsidTr="009D1361">
        <w:trPr>
          <w:trHeight w:val="1029"/>
        </w:trPr>
        <w:tc>
          <w:tcPr>
            <w:tcW w:w="1985" w:type="dxa"/>
            <w:shd w:val="clear" w:color="auto" w:fill="D9D9D9"/>
            <w:vAlign w:val="center"/>
          </w:tcPr>
          <w:p w:rsidR="00B9482C" w:rsidRPr="0066215E" w:rsidRDefault="00B9482C" w:rsidP="0029428B">
            <w:pPr>
              <w:spacing w:before="120" w:after="120"/>
              <w:contextualSpacing/>
              <w:rPr>
                <w:rFonts w:cs="Helvetica"/>
                <w:b/>
                <w:sz w:val="22"/>
              </w:rPr>
            </w:pPr>
            <w:r w:rsidRPr="0066215E">
              <w:rPr>
                <w:rFonts w:cs="Helvetica"/>
                <w:b/>
                <w:sz w:val="22"/>
              </w:rPr>
              <w:t>Drug</w:t>
            </w:r>
          </w:p>
        </w:tc>
        <w:tc>
          <w:tcPr>
            <w:tcW w:w="8930" w:type="dxa"/>
            <w:gridSpan w:val="3"/>
            <w:shd w:val="clear" w:color="auto" w:fill="D9D9D9"/>
            <w:vAlign w:val="center"/>
          </w:tcPr>
          <w:p w:rsidR="00B9482C" w:rsidRPr="0066215E" w:rsidRDefault="00B9482C" w:rsidP="0029428B">
            <w:pPr>
              <w:spacing w:before="120" w:after="120"/>
              <w:contextualSpacing/>
              <w:rPr>
                <w:rFonts w:cs="Helvetica"/>
                <w:sz w:val="22"/>
              </w:rPr>
            </w:pPr>
            <w:r w:rsidRPr="0066215E">
              <w:rPr>
                <w:rFonts w:cs="Helvetica"/>
                <w:sz w:val="22"/>
              </w:rPr>
              <w:t>Influenza Vaccine</w:t>
            </w:r>
          </w:p>
          <w:p w:rsidR="00B9482C" w:rsidRPr="0066215E" w:rsidRDefault="00B9482C" w:rsidP="0029428B">
            <w:pPr>
              <w:spacing w:before="120" w:after="120"/>
              <w:contextualSpacing/>
              <w:rPr>
                <w:rFonts w:cs="Helvetica"/>
                <w:sz w:val="22"/>
              </w:rPr>
            </w:pPr>
            <w:r w:rsidRPr="0066215E">
              <w:rPr>
                <w:rFonts w:cs="Helvetica"/>
                <w:sz w:val="22"/>
              </w:rPr>
              <w:t>Measles/Mumps/Rubella (MMR) Vaccine</w:t>
            </w:r>
          </w:p>
          <w:p w:rsidR="00B9482C" w:rsidRPr="0066215E" w:rsidRDefault="00B9482C" w:rsidP="0029428B">
            <w:pPr>
              <w:spacing w:before="120" w:after="120"/>
              <w:contextualSpacing/>
              <w:rPr>
                <w:rFonts w:cs="Helvetica"/>
                <w:sz w:val="22"/>
              </w:rPr>
            </w:pPr>
            <w:r w:rsidRPr="0066215E">
              <w:rPr>
                <w:rFonts w:cs="Helvetica"/>
                <w:sz w:val="22"/>
              </w:rPr>
              <w:t>Diphtheria/Tetanus/Pertussis Vaccine</w:t>
            </w:r>
          </w:p>
          <w:p w:rsidR="00B9482C" w:rsidRPr="0066215E" w:rsidRDefault="00B9482C" w:rsidP="0029428B">
            <w:pPr>
              <w:spacing w:before="120" w:after="120"/>
              <w:contextualSpacing/>
              <w:rPr>
                <w:rFonts w:cs="Helvetica"/>
                <w:sz w:val="22"/>
              </w:rPr>
            </w:pPr>
            <w:r w:rsidRPr="0066215E">
              <w:rPr>
                <w:rFonts w:cs="Helvetica"/>
                <w:sz w:val="22"/>
              </w:rPr>
              <w:t>Adrenaline</w:t>
            </w:r>
          </w:p>
        </w:tc>
      </w:tr>
      <w:tr w:rsidR="00B9482C" w:rsidRPr="0066215E" w:rsidTr="009D1361">
        <w:trPr>
          <w:trHeight w:val="449"/>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Indication</w:t>
            </w:r>
          </w:p>
        </w:tc>
        <w:tc>
          <w:tcPr>
            <w:tcW w:w="8930" w:type="dxa"/>
            <w:gridSpan w:val="3"/>
            <w:shd w:val="clear" w:color="auto" w:fill="auto"/>
            <w:vAlign w:val="center"/>
          </w:tcPr>
          <w:p w:rsidR="00B9482C" w:rsidRPr="0066215E" w:rsidRDefault="00B9482C" w:rsidP="0029428B">
            <w:pPr>
              <w:spacing w:before="120" w:after="120"/>
              <w:contextualSpacing/>
              <w:rPr>
                <w:rFonts w:cs="Helvetica"/>
                <w:sz w:val="22"/>
              </w:rPr>
            </w:pPr>
            <w:r w:rsidRPr="0066215E">
              <w:rPr>
                <w:rFonts w:cs="Helvetica"/>
                <w:sz w:val="22"/>
              </w:rPr>
              <w:t>Vaccination according to the ‘Australian Immunisation Handbook’ (electronic version)</w:t>
            </w:r>
          </w:p>
        </w:tc>
      </w:tr>
      <w:tr w:rsidR="00B9482C" w:rsidRPr="0066215E" w:rsidTr="009D1361">
        <w:trPr>
          <w:trHeight w:val="2065"/>
        </w:trPr>
        <w:tc>
          <w:tcPr>
            <w:tcW w:w="1985" w:type="dxa"/>
            <w:shd w:val="clear" w:color="auto" w:fill="auto"/>
            <w:vAlign w:val="center"/>
          </w:tcPr>
          <w:p w:rsidR="00B9482C" w:rsidRPr="0066215E" w:rsidRDefault="00B9482C" w:rsidP="009D1361">
            <w:pPr>
              <w:spacing w:before="120" w:after="120"/>
              <w:ind w:right="-113"/>
              <w:contextualSpacing/>
              <w:rPr>
                <w:rFonts w:cs="Helvetica"/>
                <w:b/>
                <w:sz w:val="22"/>
              </w:rPr>
            </w:pPr>
            <w:r w:rsidRPr="0066215E">
              <w:rPr>
                <w:rFonts w:cs="Helvetica"/>
                <w:b/>
                <w:sz w:val="22"/>
              </w:rPr>
              <w:t>Contraindications</w:t>
            </w:r>
          </w:p>
          <w:p w:rsidR="00B9482C" w:rsidRPr="0066215E" w:rsidRDefault="00B9482C" w:rsidP="0029428B">
            <w:pPr>
              <w:spacing w:before="120" w:after="120"/>
              <w:contextualSpacing/>
              <w:rPr>
                <w:rFonts w:cs="Helvetica"/>
                <w:b/>
                <w:sz w:val="22"/>
              </w:rPr>
            </w:pPr>
            <w:r w:rsidRPr="0066215E">
              <w:rPr>
                <w:rFonts w:cs="Helvetica"/>
                <w:b/>
                <w:sz w:val="22"/>
              </w:rPr>
              <w:t>and/or Exclusions</w:t>
            </w:r>
            <w:r w:rsidRPr="0066215E">
              <w:rPr>
                <w:rFonts w:cs="Helvetica"/>
                <w:b/>
                <w:sz w:val="22"/>
                <w:vertAlign w:val="superscript"/>
              </w:rPr>
              <w:t>*</w:t>
            </w:r>
          </w:p>
        </w:tc>
        <w:tc>
          <w:tcPr>
            <w:tcW w:w="8930" w:type="dxa"/>
            <w:gridSpan w:val="3"/>
            <w:shd w:val="clear" w:color="auto" w:fill="auto"/>
          </w:tcPr>
          <w:p w:rsidR="00B9482C" w:rsidRPr="0066215E" w:rsidRDefault="00B9482C" w:rsidP="0029428B">
            <w:pPr>
              <w:spacing w:before="120" w:after="120"/>
              <w:contextualSpacing/>
              <w:rPr>
                <w:rFonts w:cs="Helvetica"/>
                <w:sz w:val="22"/>
              </w:rPr>
            </w:pPr>
            <w:r w:rsidRPr="0066215E">
              <w:rPr>
                <w:rFonts w:cs="Helvetica"/>
                <w:sz w:val="22"/>
              </w:rPr>
              <w:t>The following persons who have a reason for exclusion after completing the pre-vaccination must be referred to their general medical practitioner or primary health care provider:</w:t>
            </w:r>
          </w:p>
          <w:p w:rsidR="00B9482C" w:rsidRPr="0066215E" w:rsidRDefault="00B9482C" w:rsidP="0029428B">
            <w:pPr>
              <w:pStyle w:val="ListParagraph"/>
              <w:widowControl/>
              <w:numPr>
                <w:ilvl w:val="0"/>
                <w:numId w:val="9"/>
              </w:numPr>
              <w:spacing w:before="120" w:after="120"/>
              <w:rPr>
                <w:rFonts w:cs="Helvetica"/>
                <w:sz w:val="22"/>
              </w:rPr>
            </w:pPr>
            <w:r w:rsidRPr="0066215E">
              <w:rPr>
                <w:rFonts w:cs="Helvetica"/>
                <w:sz w:val="22"/>
              </w:rPr>
              <w:t>Persons under 16 years of age;</w:t>
            </w:r>
          </w:p>
          <w:p w:rsidR="00B9482C" w:rsidRPr="0066215E" w:rsidRDefault="00B9482C" w:rsidP="0029428B">
            <w:pPr>
              <w:pStyle w:val="ListParagraph"/>
              <w:widowControl/>
              <w:numPr>
                <w:ilvl w:val="0"/>
                <w:numId w:val="9"/>
              </w:numPr>
              <w:spacing w:before="120" w:after="120"/>
              <w:rPr>
                <w:rFonts w:cs="Helvetica"/>
                <w:sz w:val="22"/>
              </w:rPr>
            </w:pPr>
            <w:r w:rsidRPr="0066215E">
              <w:rPr>
                <w:rFonts w:cs="Helvetica"/>
                <w:sz w:val="22"/>
              </w:rPr>
              <w:t>Persons with contraindications to vaccinations as listed in the current edition of the Australian Immunisation Handbook;</w:t>
            </w:r>
          </w:p>
          <w:p w:rsidR="00B9482C" w:rsidRPr="0066215E" w:rsidRDefault="00B9482C" w:rsidP="0029428B">
            <w:pPr>
              <w:pStyle w:val="ListParagraph"/>
              <w:widowControl/>
              <w:numPr>
                <w:ilvl w:val="0"/>
                <w:numId w:val="9"/>
              </w:numPr>
              <w:spacing w:before="120" w:after="120"/>
              <w:rPr>
                <w:rFonts w:cs="Helvetica"/>
                <w:sz w:val="22"/>
              </w:rPr>
            </w:pPr>
            <w:r w:rsidRPr="0066215E">
              <w:rPr>
                <w:rFonts w:cs="Helvetica"/>
                <w:sz w:val="22"/>
              </w:rPr>
              <w:t>Persons with a previous history of Guillian Barré syndrome;</w:t>
            </w:r>
          </w:p>
          <w:p w:rsidR="00B9482C" w:rsidRPr="0066215E" w:rsidRDefault="00B9482C" w:rsidP="0029428B">
            <w:pPr>
              <w:pStyle w:val="ListParagraph"/>
              <w:widowControl/>
              <w:numPr>
                <w:ilvl w:val="0"/>
                <w:numId w:val="9"/>
              </w:numPr>
              <w:spacing w:before="120" w:after="120"/>
              <w:rPr>
                <w:rFonts w:cs="Helvetica"/>
                <w:sz w:val="22"/>
              </w:rPr>
            </w:pPr>
            <w:r w:rsidRPr="0066215E">
              <w:rPr>
                <w:rFonts w:cs="Helvetica"/>
                <w:sz w:val="22"/>
              </w:rPr>
              <w:t>Persons with immune-compromising conditions from medications or diseases who require measles, mumps, rubella vaccine.</w:t>
            </w:r>
          </w:p>
          <w:p w:rsidR="00B9482C" w:rsidRPr="0066215E" w:rsidRDefault="00B9482C" w:rsidP="0029428B">
            <w:pPr>
              <w:spacing w:before="120" w:after="120"/>
              <w:contextualSpacing/>
              <w:rPr>
                <w:rFonts w:cs="Helvetica"/>
                <w:b/>
                <w:color w:val="000000" w:themeColor="text1"/>
                <w:sz w:val="22"/>
              </w:rPr>
            </w:pPr>
            <w:r w:rsidRPr="0066215E">
              <w:rPr>
                <w:rFonts w:cs="Helvetica"/>
                <w:b/>
                <w:color w:val="000000" w:themeColor="text1"/>
                <w:sz w:val="22"/>
              </w:rPr>
              <w:t>For all vaccines:</w:t>
            </w:r>
          </w:p>
          <w:p w:rsidR="00B9482C" w:rsidRPr="0066215E" w:rsidRDefault="00B9482C" w:rsidP="0029428B">
            <w:pPr>
              <w:spacing w:before="120" w:after="120"/>
              <w:contextualSpacing/>
              <w:rPr>
                <w:rFonts w:cs="Helvetica"/>
                <w:color w:val="000000" w:themeColor="text1"/>
                <w:sz w:val="22"/>
              </w:rPr>
            </w:pPr>
            <w:r w:rsidRPr="0066215E">
              <w:rPr>
                <w:rFonts w:cs="Helvetica"/>
                <w:color w:val="000000" w:themeColor="text1"/>
                <w:sz w:val="22"/>
              </w:rPr>
              <w:t>Please follow any additional vaccine specific contraindications described in the relevant chapters in the ‘Australian Immunisation Handbook’ (electronic version).</w:t>
            </w:r>
          </w:p>
        </w:tc>
      </w:tr>
      <w:tr w:rsidR="00B9482C" w:rsidRPr="0066215E" w:rsidTr="009D1361">
        <w:trPr>
          <w:trHeight w:val="449"/>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Dose &amp; Route</w:t>
            </w:r>
            <w:r w:rsidRPr="0066215E">
              <w:rPr>
                <w:rFonts w:cs="Helvetica"/>
                <w:b/>
                <w:sz w:val="22"/>
                <w:vertAlign w:val="superscript"/>
              </w:rPr>
              <w:t>*</w:t>
            </w:r>
          </w:p>
        </w:tc>
        <w:tc>
          <w:tcPr>
            <w:tcW w:w="8930" w:type="dxa"/>
            <w:gridSpan w:val="3"/>
            <w:shd w:val="clear" w:color="auto" w:fill="auto"/>
            <w:vAlign w:val="center"/>
          </w:tcPr>
          <w:p w:rsidR="00B9482C" w:rsidRPr="0066215E" w:rsidRDefault="00B9482C" w:rsidP="0029428B">
            <w:pPr>
              <w:spacing w:before="120" w:after="120"/>
              <w:contextualSpacing/>
              <w:rPr>
                <w:rFonts w:cs="Helvetica"/>
                <w:sz w:val="22"/>
              </w:rPr>
            </w:pPr>
            <w:r w:rsidRPr="0066215E">
              <w:rPr>
                <w:rFonts w:cs="Helvetica"/>
                <w:sz w:val="22"/>
              </w:rPr>
              <w:t xml:space="preserve">As per the Australian Immunisation Handbook (electronic version) both intramuscular or subcutaneous administration, but </w:t>
            </w:r>
            <w:r w:rsidRPr="0066215E">
              <w:rPr>
                <w:rFonts w:cs="Helvetica"/>
                <w:sz w:val="22"/>
                <w:u w:val="single"/>
              </w:rPr>
              <w:t>not</w:t>
            </w:r>
            <w:r w:rsidRPr="0066215E">
              <w:rPr>
                <w:rFonts w:cs="Helvetica"/>
                <w:sz w:val="22"/>
              </w:rPr>
              <w:t xml:space="preserve"> for intradermal administration of influenza vaccine.</w:t>
            </w:r>
          </w:p>
        </w:tc>
      </w:tr>
      <w:tr w:rsidR="00B9482C" w:rsidRPr="0066215E" w:rsidTr="009D1361">
        <w:trPr>
          <w:trHeight w:val="449"/>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Dose frequency</w:t>
            </w:r>
            <w:r w:rsidRPr="0066215E">
              <w:rPr>
                <w:rFonts w:cs="Helvetica"/>
                <w:b/>
                <w:sz w:val="22"/>
                <w:vertAlign w:val="superscript"/>
              </w:rPr>
              <w:t>*</w:t>
            </w:r>
          </w:p>
        </w:tc>
        <w:tc>
          <w:tcPr>
            <w:tcW w:w="8930" w:type="dxa"/>
            <w:gridSpan w:val="3"/>
            <w:shd w:val="clear" w:color="auto" w:fill="auto"/>
            <w:vAlign w:val="center"/>
          </w:tcPr>
          <w:p w:rsidR="00B9482C" w:rsidRPr="0066215E" w:rsidRDefault="00B9482C" w:rsidP="0029428B">
            <w:pPr>
              <w:spacing w:before="120" w:after="120"/>
              <w:contextualSpacing/>
              <w:rPr>
                <w:rFonts w:cs="Helvetica"/>
                <w:sz w:val="22"/>
              </w:rPr>
            </w:pPr>
            <w:r w:rsidRPr="0066215E">
              <w:rPr>
                <w:rFonts w:cs="Helvetica"/>
                <w:sz w:val="22"/>
              </w:rPr>
              <w:t>As per Australian Immunisation Handbook (electronic version)</w:t>
            </w:r>
          </w:p>
        </w:tc>
      </w:tr>
      <w:tr w:rsidR="00B9482C" w:rsidRPr="0066215E" w:rsidTr="009D1361">
        <w:trPr>
          <w:trHeight w:val="449"/>
        </w:trPr>
        <w:tc>
          <w:tcPr>
            <w:tcW w:w="1985" w:type="dxa"/>
            <w:shd w:val="clear" w:color="auto" w:fill="auto"/>
            <w:vAlign w:val="center"/>
          </w:tcPr>
          <w:p w:rsidR="00B9482C" w:rsidRPr="0066215E" w:rsidRDefault="00B9482C" w:rsidP="0029428B">
            <w:pPr>
              <w:spacing w:before="120" w:after="120"/>
              <w:contextualSpacing/>
              <w:rPr>
                <w:rFonts w:cs="Helvetica"/>
                <w:b/>
                <w:sz w:val="22"/>
                <w:vertAlign w:val="superscript"/>
              </w:rPr>
            </w:pPr>
            <w:r w:rsidRPr="0066215E">
              <w:rPr>
                <w:rFonts w:cs="Helvetica"/>
                <w:b/>
                <w:sz w:val="22"/>
              </w:rPr>
              <w:t>Administration</w:t>
            </w:r>
            <w:r w:rsidRPr="0066215E">
              <w:rPr>
                <w:rFonts w:cs="Helvetica"/>
                <w:b/>
                <w:sz w:val="22"/>
                <w:vertAlign w:val="superscript"/>
              </w:rPr>
              <w:t>*</w:t>
            </w:r>
          </w:p>
        </w:tc>
        <w:tc>
          <w:tcPr>
            <w:tcW w:w="8930" w:type="dxa"/>
            <w:gridSpan w:val="3"/>
            <w:shd w:val="clear" w:color="auto" w:fill="auto"/>
            <w:vAlign w:val="center"/>
          </w:tcPr>
          <w:p w:rsidR="00B9482C" w:rsidRPr="0066215E" w:rsidRDefault="00B9482C" w:rsidP="0029428B">
            <w:pPr>
              <w:spacing w:before="120" w:after="120"/>
              <w:contextualSpacing/>
              <w:rPr>
                <w:rFonts w:cs="Helvetica"/>
                <w:sz w:val="22"/>
              </w:rPr>
            </w:pPr>
            <w:r w:rsidRPr="0066215E">
              <w:rPr>
                <w:rFonts w:cs="Helvetica"/>
                <w:sz w:val="22"/>
              </w:rPr>
              <w:t>As per Australian Immunisation Handbook (electronic version)</w:t>
            </w:r>
          </w:p>
        </w:tc>
      </w:tr>
      <w:tr w:rsidR="00B9482C" w:rsidRPr="0066215E" w:rsidTr="009D1361">
        <w:trPr>
          <w:trHeight w:val="449"/>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Drug Interactions</w:t>
            </w:r>
            <w:r w:rsidRPr="0066215E">
              <w:rPr>
                <w:rFonts w:cs="Helvetica"/>
                <w:b/>
                <w:sz w:val="22"/>
                <w:vertAlign w:val="superscript"/>
              </w:rPr>
              <w:t>*</w:t>
            </w:r>
          </w:p>
        </w:tc>
        <w:tc>
          <w:tcPr>
            <w:tcW w:w="8930" w:type="dxa"/>
            <w:gridSpan w:val="3"/>
            <w:shd w:val="clear" w:color="auto" w:fill="auto"/>
            <w:vAlign w:val="center"/>
          </w:tcPr>
          <w:p w:rsidR="00B9482C" w:rsidRPr="0066215E" w:rsidRDefault="00B9482C" w:rsidP="0029428B">
            <w:pPr>
              <w:spacing w:before="120" w:after="120"/>
              <w:contextualSpacing/>
              <w:rPr>
                <w:rFonts w:cs="Helvetica"/>
                <w:color w:val="000000" w:themeColor="text1"/>
                <w:sz w:val="22"/>
              </w:rPr>
            </w:pPr>
            <w:r w:rsidRPr="0066215E">
              <w:rPr>
                <w:rFonts w:cs="Helvetica"/>
                <w:color w:val="000000" w:themeColor="text1"/>
                <w:sz w:val="22"/>
              </w:rPr>
              <w:t>As per the Australian Immunisation Handbook (electronic version)</w:t>
            </w:r>
          </w:p>
          <w:p w:rsidR="00B9482C" w:rsidRPr="0066215E" w:rsidRDefault="00B9482C" w:rsidP="0029428B">
            <w:pPr>
              <w:pStyle w:val="ListParagraph"/>
              <w:widowControl/>
              <w:numPr>
                <w:ilvl w:val="0"/>
                <w:numId w:val="12"/>
              </w:numPr>
              <w:spacing w:before="120" w:after="120"/>
              <w:rPr>
                <w:rFonts w:cs="Helvetica"/>
                <w:color w:val="000000" w:themeColor="text1"/>
                <w:sz w:val="22"/>
              </w:rPr>
            </w:pPr>
            <w:r w:rsidRPr="0066215E">
              <w:rPr>
                <w:rFonts w:cs="Helvetica"/>
                <w:color w:val="000000" w:themeColor="text1"/>
                <w:sz w:val="22"/>
              </w:rPr>
              <w:t>Refer to the Australian Immunisation Handbook for specific vaccines and their interactions with immunoglobulins and blood products.</w:t>
            </w:r>
          </w:p>
          <w:p w:rsidR="00581059" w:rsidRPr="00581059" w:rsidRDefault="00B9482C" w:rsidP="0029428B">
            <w:pPr>
              <w:pStyle w:val="ListParagraph"/>
              <w:widowControl/>
              <w:numPr>
                <w:ilvl w:val="0"/>
                <w:numId w:val="12"/>
              </w:numPr>
              <w:spacing w:before="120" w:after="120"/>
              <w:rPr>
                <w:rFonts w:cs="Helvetica"/>
                <w:color w:val="000000" w:themeColor="text1"/>
                <w:sz w:val="22"/>
              </w:rPr>
            </w:pPr>
            <w:r w:rsidRPr="0066215E">
              <w:rPr>
                <w:rFonts w:cs="Helvetica"/>
                <w:color w:val="000000" w:themeColor="text1"/>
                <w:sz w:val="22"/>
              </w:rPr>
              <w:t>MMR vaccine must be given at the same time as other live vaccines or at least 4 weeks after another live vaccine such as yellow fever, varicella vaccine.</w:t>
            </w:r>
          </w:p>
          <w:p w:rsidR="00B9482C" w:rsidRPr="0066215E" w:rsidRDefault="00B9482C" w:rsidP="0029428B">
            <w:pPr>
              <w:pStyle w:val="ListParagraph"/>
              <w:pageBreakBefore/>
              <w:numPr>
                <w:ilvl w:val="0"/>
                <w:numId w:val="12"/>
              </w:numPr>
              <w:spacing w:before="120" w:after="120"/>
              <w:ind w:left="714" w:hanging="357"/>
              <w:rPr>
                <w:rFonts w:cs="Helvetica"/>
                <w:color w:val="000000" w:themeColor="text1"/>
                <w:sz w:val="22"/>
              </w:rPr>
            </w:pPr>
            <w:r w:rsidRPr="0066215E">
              <w:rPr>
                <w:rFonts w:cs="Helvetica"/>
                <w:color w:val="000000" w:themeColor="text1"/>
                <w:sz w:val="22"/>
              </w:rPr>
              <w:t>Mantoux testing should not be done until 4 weeks after the administration of measles containing vaccines.</w:t>
            </w:r>
          </w:p>
          <w:p w:rsidR="00B9482C" w:rsidRPr="0066215E" w:rsidRDefault="00B9482C" w:rsidP="0029428B">
            <w:pPr>
              <w:pStyle w:val="ListParagraph"/>
              <w:widowControl/>
              <w:numPr>
                <w:ilvl w:val="0"/>
                <w:numId w:val="12"/>
              </w:numPr>
              <w:spacing w:before="120" w:after="120"/>
              <w:rPr>
                <w:rFonts w:cs="Helvetica"/>
                <w:color w:val="000000" w:themeColor="text1"/>
                <w:sz w:val="22"/>
              </w:rPr>
            </w:pPr>
            <w:r w:rsidRPr="0066215E">
              <w:rPr>
                <w:rFonts w:cs="Helvetica"/>
                <w:color w:val="000000" w:themeColor="text1"/>
                <w:sz w:val="22"/>
              </w:rPr>
              <w:t>Refer to vaccine specific chapters in the Australian Immunisation Handbook for specific drug interactions with each vaccine.</w:t>
            </w:r>
          </w:p>
        </w:tc>
      </w:tr>
      <w:tr w:rsidR="00B9482C" w:rsidRPr="0066215E" w:rsidTr="009D1361">
        <w:trPr>
          <w:trHeight w:val="682"/>
        </w:trPr>
        <w:tc>
          <w:tcPr>
            <w:tcW w:w="1985" w:type="dxa"/>
            <w:shd w:val="clear" w:color="auto" w:fill="auto"/>
            <w:vAlign w:val="center"/>
          </w:tcPr>
          <w:p w:rsidR="00B9482C" w:rsidRPr="0066215E" w:rsidRDefault="00B9482C" w:rsidP="0029428B">
            <w:pPr>
              <w:spacing w:before="120" w:after="120"/>
              <w:contextualSpacing/>
              <w:rPr>
                <w:rFonts w:cs="Helvetica"/>
                <w:b/>
                <w:sz w:val="22"/>
                <w:vertAlign w:val="superscript"/>
              </w:rPr>
            </w:pPr>
            <w:r w:rsidRPr="0066215E">
              <w:rPr>
                <w:rFonts w:cs="Helvetica"/>
                <w:b/>
                <w:sz w:val="22"/>
              </w:rPr>
              <w:t>Monitoring requirements</w:t>
            </w:r>
          </w:p>
        </w:tc>
        <w:tc>
          <w:tcPr>
            <w:tcW w:w="8930" w:type="dxa"/>
            <w:gridSpan w:val="3"/>
            <w:shd w:val="clear" w:color="auto" w:fill="auto"/>
            <w:vAlign w:val="center"/>
          </w:tcPr>
          <w:p w:rsidR="00B9482C" w:rsidRPr="0066215E" w:rsidRDefault="00B9482C" w:rsidP="0029428B">
            <w:pPr>
              <w:pStyle w:val="ListParagraph"/>
              <w:widowControl/>
              <w:numPr>
                <w:ilvl w:val="0"/>
                <w:numId w:val="10"/>
              </w:numPr>
              <w:spacing w:before="120" w:after="120"/>
              <w:rPr>
                <w:rFonts w:cs="Helvetica"/>
                <w:bCs/>
                <w:sz w:val="22"/>
              </w:rPr>
            </w:pPr>
            <w:r w:rsidRPr="0066215E">
              <w:rPr>
                <w:rFonts w:cs="Helvetica"/>
                <w:bCs/>
                <w:sz w:val="22"/>
              </w:rPr>
              <w:t>Ensure that patients who qualify for the National Immunisation Program must be offered referral to their local clinic or general practitioner but can be vaccinated in the pharmacy if they choose that service and understand the cost.</w:t>
            </w:r>
          </w:p>
          <w:p w:rsidR="00B9482C" w:rsidRPr="0066215E" w:rsidRDefault="00B9482C" w:rsidP="0029428B">
            <w:pPr>
              <w:pStyle w:val="ListParagraph"/>
              <w:widowControl/>
              <w:numPr>
                <w:ilvl w:val="0"/>
                <w:numId w:val="10"/>
              </w:numPr>
              <w:spacing w:before="120" w:after="120"/>
              <w:rPr>
                <w:rFonts w:cs="Helvetica"/>
                <w:bCs/>
                <w:sz w:val="22"/>
              </w:rPr>
            </w:pPr>
            <w:r w:rsidRPr="0066215E">
              <w:rPr>
                <w:rFonts w:cs="Helvetica"/>
                <w:bCs/>
                <w:sz w:val="22"/>
              </w:rPr>
              <w:t>Ensure vaccines are stored according to National Storage Guidelines “Strive for Five”.</w:t>
            </w:r>
          </w:p>
          <w:p w:rsidR="00B9482C" w:rsidRPr="0066215E" w:rsidRDefault="00B9482C" w:rsidP="0029428B">
            <w:pPr>
              <w:pStyle w:val="ListParagraph"/>
              <w:widowControl/>
              <w:numPr>
                <w:ilvl w:val="0"/>
                <w:numId w:val="10"/>
              </w:numPr>
              <w:spacing w:before="120" w:after="120"/>
              <w:rPr>
                <w:rFonts w:cs="Helvetica"/>
                <w:bCs/>
                <w:sz w:val="22"/>
              </w:rPr>
            </w:pPr>
            <w:r w:rsidRPr="0066215E">
              <w:rPr>
                <w:rFonts w:cs="Helvetica"/>
                <w:bCs/>
                <w:sz w:val="22"/>
              </w:rPr>
              <w:t>Assess patient suitability for vaccination at the pharmacy with pre-vaccination screening questionnaire.</w:t>
            </w:r>
          </w:p>
          <w:p w:rsidR="00B9482C" w:rsidRPr="0066215E" w:rsidRDefault="00B9482C" w:rsidP="0029428B">
            <w:pPr>
              <w:pStyle w:val="ListParagraph"/>
              <w:widowControl/>
              <w:numPr>
                <w:ilvl w:val="0"/>
                <w:numId w:val="10"/>
              </w:numPr>
              <w:spacing w:before="120" w:after="120"/>
              <w:rPr>
                <w:rFonts w:cs="Helvetica"/>
                <w:bCs/>
                <w:sz w:val="22"/>
              </w:rPr>
            </w:pPr>
            <w:r w:rsidRPr="0066215E">
              <w:rPr>
                <w:rFonts w:cs="Helvetica"/>
                <w:bCs/>
                <w:sz w:val="22"/>
              </w:rPr>
              <w:t>Contact NT Immunisation Register (NTIR) - Phone: 8922 8315 or Australian Immunisation Register - for previous immunisation record if required.</w:t>
            </w:r>
          </w:p>
          <w:p w:rsidR="00B9482C" w:rsidRPr="0066215E" w:rsidRDefault="00B9482C" w:rsidP="0029428B">
            <w:pPr>
              <w:pStyle w:val="ListParagraph"/>
              <w:widowControl/>
              <w:numPr>
                <w:ilvl w:val="0"/>
                <w:numId w:val="11"/>
              </w:numPr>
              <w:spacing w:before="120" w:after="120"/>
              <w:rPr>
                <w:rFonts w:cs="Helvetica"/>
                <w:bCs/>
                <w:sz w:val="22"/>
              </w:rPr>
            </w:pPr>
            <w:r w:rsidRPr="0066215E">
              <w:rPr>
                <w:rFonts w:cs="Helvetica"/>
                <w:bCs/>
                <w:sz w:val="22"/>
              </w:rPr>
              <w:t>Obtain patient consent to be vaccinated.</w:t>
            </w:r>
          </w:p>
          <w:p w:rsidR="00B9482C" w:rsidRPr="0066215E" w:rsidRDefault="00B9482C" w:rsidP="0029428B">
            <w:pPr>
              <w:pStyle w:val="ListParagraph"/>
              <w:widowControl/>
              <w:numPr>
                <w:ilvl w:val="0"/>
                <w:numId w:val="11"/>
              </w:numPr>
              <w:spacing w:before="120" w:after="120"/>
              <w:ind w:right="176"/>
              <w:rPr>
                <w:rFonts w:cs="Helvetica"/>
                <w:sz w:val="22"/>
              </w:rPr>
            </w:pPr>
            <w:r w:rsidRPr="0066215E">
              <w:rPr>
                <w:rFonts w:cs="Helvetica"/>
                <w:sz w:val="22"/>
              </w:rPr>
              <w:t>Provide advice to the patient on action to take if adverse reaction detected once leaving the pharmacy.</w:t>
            </w:r>
          </w:p>
          <w:p w:rsidR="00B9482C" w:rsidRPr="0066215E" w:rsidRDefault="00B9482C" w:rsidP="0029428B">
            <w:pPr>
              <w:pStyle w:val="ListParagraph"/>
              <w:widowControl/>
              <w:numPr>
                <w:ilvl w:val="0"/>
                <w:numId w:val="11"/>
              </w:numPr>
              <w:tabs>
                <w:tab w:val="left" w:pos="8437"/>
              </w:tabs>
              <w:spacing w:before="120" w:after="120"/>
              <w:ind w:right="176"/>
              <w:rPr>
                <w:rFonts w:cs="Helvetica"/>
                <w:sz w:val="22"/>
              </w:rPr>
            </w:pPr>
            <w:r w:rsidRPr="0066215E">
              <w:rPr>
                <w:rFonts w:cs="Helvetica"/>
                <w:sz w:val="22"/>
              </w:rPr>
              <w:lastRenderedPageBreak/>
              <w:t xml:space="preserve">Observe the patient post administration for 15 minutes for adverse reaction and </w:t>
            </w:r>
          </w:p>
          <w:p w:rsidR="00B9482C" w:rsidRPr="0066215E" w:rsidRDefault="00B9482C" w:rsidP="0029428B">
            <w:pPr>
              <w:pStyle w:val="ListParagraph"/>
              <w:widowControl/>
              <w:numPr>
                <w:ilvl w:val="0"/>
                <w:numId w:val="11"/>
              </w:numPr>
              <w:spacing w:before="120" w:after="120"/>
              <w:rPr>
                <w:rFonts w:cs="Helvetica"/>
                <w:sz w:val="22"/>
              </w:rPr>
            </w:pPr>
            <w:r w:rsidRPr="0066215E">
              <w:rPr>
                <w:rFonts w:cs="Helvetica"/>
                <w:sz w:val="22"/>
              </w:rPr>
              <w:t>If an adverse event occurs, an ‘Adverse event following vaccination’ form must be completed and sent to the Centre for Disease Control (CDC).</w:t>
            </w:r>
          </w:p>
        </w:tc>
      </w:tr>
      <w:tr w:rsidR="00B9482C" w:rsidRPr="0066215E" w:rsidTr="009D1361">
        <w:trPr>
          <w:trHeight w:val="850"/>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lastRenderedPageBreak/>
              <w:t>Pharmacist Accreditation Requirements</w:t>
            </w:r>
          </w:p>
        </w:tc>
        <w:tc>
          <w:tcPr>
            <w:tcW w:w="8930" w:type="dxa"/>
            <w:gridSpan w:val="3"/>
            <w:shd w:val="clear" w:color="auto" w:fill="auto"/>
          </w:tcPr>
          <w:p w:rsidR="00B9482C" w:rsidRPr="0066215E" w:rsidRDefault="00B9482C" w:rsidP="00570FD7">
            <w:pPr>
              <w:pStyle w:val="Default"/>
              <w:spacing w:before="120" w:after="120"/>
              <w:contextualSpacing/>
              <w:jc w:val="both"/>
              <w:rPr>
                <w:sz w:val="22"/>
                <w:szCs w:val="22"/>
              </w:rPr>
            </w:pPr>
            <w:r w:rsidRPr="0066215E">
              <w:rPr>
                <w:sz w:val="22"/>
                <w:szCs w:val="22"/>
              </w:rPr>
              <w:t xml:space="preserve">Before 1 January 2017 </w:t>
            </w:r>
          </w:p>
          <w:p w:rsidR="00B9482C" w:rsidRPr="0066215E" w:rsidRDefault="00B9482C" w:rsidP="00570FD7">
            <w:pPr>
              <w:pStyle w:val="Default"/>
              <w:spacing w:before="120" w:after="120"/>
              <w:contextualSpacing/>
              <w:jc w:val="both"/>
              <w:rPr>
                <w:color w:val="auto"/>
                <w:sz w:val="22"/>
                <w:szCs w:val="22"/>
              </w:rPr>
            </w:pPr>
            <w:r w:rsidRPr="0066215E">
              <w:rPr>
                <w:sz w:val="22"/>
                <w:szCs w:val="22"/>
              </w:rPr>
              <w:t xml:space="preserve">Successful completion of </w:t>
            </w:r>
          </w:p>
          <w:p w:rsidR="00B9482C" w:rsidRPr="0066215E" w:rsidRDefault="00B9482C" w:rsidP="00570FD7">
            <w:pPr>
              <w:pStyle w:val="Default"/>
              <w:widowControl/>
              <w:numPr>
                <w:ilvl w:val="0"/>
                <w:numId w:val="15"/>
              </w:numPr>
              <w:adjustRightInd/>
              <w:spacing w:before="120" w:after="120"/>
              <w:contextualSpacing/>
              <w:jc w:val="both"/>
              <w:rPr>
                <w:sz w:val="22"/>
                <w:szCs w:val="22"/>
              </w:rPr>
            </w:pPr>
            <w:r w:rsidRPr="0066215E">
              <w:rPr>
                <w:sz w:val="22"/>
                <w:szCs w:val="22"/>
              </w:rPr>
              <w:t xml:space="preserve">APPIMM806A - Manage the delivery and administration of injections and immunisations - Pharmaceutical Society of Australia; or </w:t>
            </w:r>
          </w:p>
          <w:p w:rsidR="00B9482C" w:rsidRPr="0066215E" w:rsidRDefault="00B9482C" w:rsidP="00570FD7">
            <w:pPr>
              <w:pStyle w:val="Default"/>
              <w:widowControl/>
              <w:numPr>
                <w:ilvl w:val="0"/>
                <w:numId w:val="15"/>
              </w:numPr>
              <w:adjustRightInd/>
              <w:spacing w:before="120" w:after="120"/>
              <w:contextualSpacing/>
              <w:jc w:val="both"/>
              <w:rPr>
                <w:sz w:val="22"/>
                <w:szCs w:val="22"/>
              </w:rPr>
            </w:pPr>
            <w:r w:rsidRPr="0066215E">
              <w:rPr>
                <w:sz w:val="22"/>
                <w:szCs w:val="22"/>
              </w:rPr>
              <w:t xml:space="preserve">10455NAT - Course in conduct immunisation services within a community pharmacy environment - Pharmacy Guild of Australia; </w:t>
            </w:r>
          </w:p>
          <w:p w:rsidR="00B9482C" w:rsidRPr="0066215E" w:rsidRDefault="004A7A95" w:rsidP="00570FD7">
            <w:pPr>
              <w:pStyle w:val="ListParagraph"/>
              <w:spacing w:before="120" w:after="120"/>
              <w:jc w:val="both"/>
              <w:rPr>
                <w:rFonts w:cs="Helvetica"/>
                <w:sz w:val="22"/>
              </w:rPr>
            </w:pPr>
            <w:r w:rsidRPr="0066215E">
              <w:rPr>
                <w:rFonts w:cs="Helvetica"/>
                <w:sz w:val="22"/>
              </w:rPr>
              <w:t>Or</w:t>
            </w:r>
          </w:p>
          <w:p w:rsidR="00B9482C" w:rsidRPr="0066215E" w:rsidRDefault="00B9482C" w:rsidP="00570FD7">
            <w:pPr>
              <w:spacing w:before="120" w:after="120"/>
              <w:contextualSpacing/>
              <w:jc w:val="both"/>
              <w:rPr>
                <w:rFonts w:cs="Helvetica"/>
                <w:sz w:val="22"/>
              </w:rPr>
            </w:pPr>
            <w:r w:rsidRPr="0066215E">
              <w:rPr>
                <w:rFonts w:cs="Helvetica"/>
                <w:sz w:val="22"/>
              </w:rPr>
              <w:t xml:space="preserve">After 1 January 2017 </w:t>
            </w:r>
          </w:p>
          <w:p w:rsidR="00B9482C" w:rsidRPr="0066215E" w:rsidRDefault="00B9482C" w:rsidP="00570FD7">
            <w:pPr>
              <w:spacing w:before="120" w:after="120"/>
              <w:contextualSpacing/>
              <w:jc w:val="both"/>
              <w:rPr>
                <w:rFonts w:cs="Helvetica"/>
                <w:sz w:val="22"/>
              </w:rPr>
            </w:pPr>
            <w:r w:rsidRPr="0066215E">
              <w:rPr>
                <w:rFonts w:cs="Helvetica"/>
                <w:sz w:val="22"/>
              </w:rPr>
              <w:t xml:space="preserve">Successful completion of </w:t>
            </w:r>
          </w:p>
          <w:p w:rsidR="00B9482C" w:rsidRPr="0066215E" w:rsidRDefault="00B9482C" w:rsidP="00570FD7">
            <w:pPr>
              <w:pStyle w:val="ListParagraph"/>
              <w:widowControl/>
              <w:numPr>
                <w:ilvl w:val="0"/>
                <w:numId w:val="16"/>
              </w:numPr>
              <w:spacing w:before="120" w:after="120"/>
              <w:jc w:val="both"/>
              <w:rPr>
                <w:rFonts w:cs="Helvetica"/>
                <w:sz w:val="22"/>
              </w:rPr>
            </w:pPr>
            <w:r w:rsidRPr="0066215E">
              <w:rPr>
                <w:rFonts w:cs="Helvetica"/>
                <w:sz w:val="22"/>
              </w:rPr>
              <w:t xml:space="preserve">a training program accredited to meet the standards set by the Australian Pharmacy Council’s ‘ Standards for the accreditation of programs to support Pharmacist Administration of vaccines’. </w:t>
            </w:r>
          </w:p>
          <w:p w:rsidR="00B9482C" w:rsidRPr="0066215E" w:rsidRDefault="00B9482C" w:rsidP="00570FD7">
            <w:pPr>
              <w:pStyle w:val="ListParagraph"/>
              <w:widowControl/>
              <w:numPr>
                <w:ilvl w:val="0"/>
                <w:numId w:val="16"/>
              </w:numPr>
              <w:spacing w:before="120" w:after="120"/>
              <w:jc w:val="both"/>
              <w:rPr>
                <w:rFonts w:cs="Helvetica"/>
                <w:sz w:val="22"/>
              </w:rPr>
            </w:pPr>
            <w:r w:rsidRPr="0066215E">
              <w:rPr>
                <w:rFonts w:cs="Helvetica"/>
                <w:sz w:val="22"/>
              </w:rPr>
              <w:t>This course must include training for the influenza, measles, mumps, rubella and diphtheria, tetanus, pertussis vaccines.</w:t>
            </w:r>
          </w:p>
          <w:p w:rsidR="00B9482C" w:rsidRPr="0066215E" w:rsidRDefault="00B9482C" w:rsidP="00570FD7">
            <w:pPr>
              <w:spacing w:before="0" w:after="0"/>
              <w:jc w:val="both"/>
              <w:rPr>
                <w:rFonts w:cs="Helvetica"/>
                <w:sz w:val="22"/>
              </w:rPr>
            </w:pPr>
            <w:r w:rsidRPr="0066215E">
              <w:rPr>
                <w:rFonts w:cs="Helvetica"/>
                <w:sz w:val="22"/>
              </w:rPr>
              <w:t>A</w:t>
            </w:r>
            <w:r w:rsidR="00C0187B" w:rsidRPr="0066215E">
              <w:rPr>
                <w:rFonts w:cs="Helvetica"/>
                <w:sz w:val="22"/>
              </w:rPr>
              <w:t>ll</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rPr>
              <w:t>General registration with the Pharmacy Board of Australia with no conditions or undertakings which may limit delivery of clinical services directly to patients;</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rPr>
              <w:t xml:space="preserve">Maintain continuing professional development in the delivery of immunisation services; </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rPr>
              <w:t xml:space="preserve">Current certificate Australasian Society of Clinical Immunology and Allergy (ASCIA) ‘Anaphylaxis e-training for pharmacists’; </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rPr>
              <w:t>Current first aid certificate</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lang w:val="en-GB"/>
              </w:rPr>
              <w:t>Current cardiopulmonary resuscitation (CPR)</w:t>
            </w:r>
            <w:r w:rsidRPr="0066215E">
              <w:rPr>
                <w:rFonts w:cs="Helvetica"/>
                <w:sz w:val="22"/>
              </w:rPr>
              <w:t>.</w:t>
            </w:r>
          </w:p>
          <w:p w:rsidR="00B9482C" w:rsidRPr="0066215E" w:rsidRDefault="00B9482C" w:rsidP="00570FD7">
            <w:pPr>
              <w:pStyle w:val="ListParagraph"/>
              <w:widowControl/>
              <w:numPr>
                <w:ilvl w:val="0"/>
                <w:numId w:val="14"/>
              </w:numPr>
              <w:spacing w:before="120" w:after="120"/>
              <w:jc w:val="both"/>
              <w:rPr>
                <w:rFonts w:cs="Helvetica"/>
                <w:sz w:val="22"/>
              </w:rPr>
            </w:pPr>
            <w:r w:rsidRPr="0066215E">
              <w:rPr>
                <w:rFonts w:cs="Helvetica"/>
                <w:sz w:val="22"/>
              </w:rPr>
              <w:t>Consumers should be able to observe copies of these certificates if needed.</w:t>
            </w:r>
          </w:p>
        </w:tc>
      </w:tr>
      <w:tr w:rsidR="00B9482C" w:rsidRPr="0066215E" w:rsidTr="009D1361">
        <w:trPr>
          <w:trHeight w:val="850"/>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Pharmacy requirements</w:t>
            </w:r>
          </w:p>
        </w:tc>
        <w:tc>
          <w:tcPr>
            <w:tcW w:w="8930" w:type="dxa"/>
            <w:gridSpan w:val="3"/>
            <w:shd w:val="clear" w:color="auto" w:fill="auto"/>
          </w:tcPr>
          <w:p w:rsidR="00B9482C" w:rsidRPr="0066215E" w:rsidRDefault="00B9482C" w:rsidP="00570FD7">
            <w:pPr>
              <w:spacing w:before="120" w:after="120"/>
              <w:contextualSpacing/>
              <w:jc w:val="both"/>
              <w:rPr>
                <w:rFonts w:cs="Helvetica"/>
                <w:b/>
                <w:bCs/>
                <w:sz w:val="22"/>
              </w:rPr>
            </w:pPr>
            <w:r w:rsidRPr="0066215E">
              <w:rPr>
                <w:rFonts w:cs="Helvetica"/>
                <w:b/>
                <w:bCs/>
                <w:sz w:val="22"/>
              </w:rPr>
              <w:t>Premises and equipment</w:t>
            </w:r>
          </w:p>
          <w:p w:rsidR="00B9482C" w:rsidRPr="0066215E" w:rsidRDefault="00B9482C" w:rsidP="00570FD7">
            <w:pPr>
              <w:widowControl/>
              <w:numPr>
                <w:ilvl w:val="0"/>
                <w:numId w:val="13"/>
              </w:numPr>
              <w:spacing w:before="120" w:after="120"/>
              <w:contextualSpacing/>
              <w:jc w:val="both"/>
              <w:rPr>
                <w:rFonts w:cs="Helvetica"/>
                <w:sz w:val="22"/>
              </w:rPr>
            </w:pPr>
            <w:r w:rsidRPr="0066215E">
              <w:rPr>
                <w:rFonts w:cs="Helvetica"/>
                <w:sz w:val="22"/>
              </w:rPr>
              <w:t>Facilities comply with the NT Pharmacy Premises Committee's ‘Premises and Equipment Standard for Pharmacy Based Immunisation Programs’; and</w:t>
            </w:r>
          </w:p>
          <w:p w:rsidR="00B9482C" w:rsidRPr="0066215E" w:rsidRDefault="00B9482C" w:rsidP="00570FD7">
            <w:pPr>
              <w:widowControl/>
              <w:numPr>
                <w:ilvl w:val="0"/>
                <w:numId w:val="13"/>
              </w:numPr>
              <w:spacing w:before="120" w:after="120"/>
              <w:contextualSpacing/>
              <w:jc w:val="both"/>
              <w:rPr>
                <w:rFonts w:cs="Helvetica"/>
                <w:sz w:val="22"/>
              </w:rPr>
            </w:pPr>
            <w:r w:rsidRPr="0066215E">
              <w:rPr>
                <w:rFonts w:cs="Helvetica"/>
                <w:sz w:val="22"/>
              </w:rPr>
              <w:t xml:space="preserve">Access to appropriate record management storage that can send records to the Australian Immunisation register </w:t>
            </w:r>
          </w:p>
          <w:p w:rsidR="00B9482C" w:rsidRPr="0066215E" w:rsidRDefault="00B9482C" w:rsidP="00570FD7">
            <w:pPr>
              <w:spacing w:before="120" w:after="120"/>
              <w:contextualSpacing/>
              <w:jc w:val="both"/>
              <w:rPr>
                <w:rFonts w:cs="Helvetica"/>
                <w:b/>
                <w:sz w:val="22"/>
              </w:rPr>
            </w:pPr>
            <w:r w:rsidRPr="0066215E">
              <w:rPr>
                <w:rFonts w:cs="Helvetica"/>
                <w:b/>
                <w:sz w:val="22"/>
              </w:rPr>
              <w:t xml:space="preserve">Staffing </w:t>
            </w:r>
          </w:p>
          <w:p w:rsidR="00B9482C" w:rsidRPr="0066215E" w:rsidRDefault="00B9482C" w:rsidP="00570FD7">
            <w:pPr>
              <w:widowControl/>
              <w:numPr>
                <w:ilvl w:val="0"/>
                <w:numId w:val="13"/>
              </w:numPr>
              <w:spacing w:before="120" w:after="120"/>
              <w:contextualSpacing/>
              <w:jc w:val="both"/>
              <w:rPr>
                <w:rFonts w:cs="Helvetica"/>
                <w:sz w:val="22"/>
              </w:rPr>
            </w:pPr>
            <w:r w:rsidRPr="0066215E">
              <w:rPr>
                <w:rFonts w:cs="Helvetica"/>
                <w:sz w:val="22"/>
              </w:rPr>
              <w:t xml:space="preserve">Immunisations can only be administered when an additional pharmacist or pharmacy assistant with current First aid and CPR certificates can assist if needed for emergencies at the premises; and  </w:t>
            </w:r>
          </w:p>
          <w:p w:rsidR="00B9482C" w:rsidRPr="0066215E" w:rsidRDefault="00B9482C" w:rsidP="00570FD7">
            <w:pPr>
              <w:widowControl/>
              <w:numPr>
                <w:ilvl w:val="0"/>
                <w:numId w:val="13"/>
              </w:numPr>
              <w:spacing w:before="120" w:after="120"/>
              <w:contextualSpacing/>
              <w:jc w:val="both"/>
              <w:rPr>
                <w:rFonts w:cs="Helvetica"/>
                <w:b/>
                <w:sz w:val="22"/>
              </w:rPr>
            </w:pPr>
            <w:r w:rsidRPr="0066215E">
              <w:rPr>
                <w:rFonts w:cs="Helvetica"/>
                <w:sz w:val="22"/>
              </w:rPr>
              <w:t>The immunisation pharmacist must have uninterrupted time to conduct the pre-vaccination assessment and vaccination procedures.</w:t>
            </w:r>
          </w:p>
          <w:p w:rsidR="00B9482C" w:rsidRPr="0066215E" w:rsidRDefault="00B9482C" w:rsidP="00570FD7">
            <w:pPr>
              <w:spacing w:before="120" w:after="120"/>
              <w:contextualSpacing/>
              <w:jc w:val="both"/>
              <w:rPr>
                <w:rFonts w:cs="Helvetica"/>
                <w:b/>
                <w:sz w:val="22"/>
              </w:rPr>
            </w:pPr>
            <w:r w:rsidRPr="0066215E">
              <w:rPr>
                <w:rFonts w:cs="Helvetica"/>
                <w:b/>
                <w:sz w:val="22"/>
              </w:rPr>
              <w:t>Audit requirements</w:t>
            </w:r>
          </w:p>
          <w:p w:rsidR="00B9482C" w:rsidRPr="0066215E" w:rsidRDefault="00B9482C" w:rsidP="00570FD7">
            <w:pPr>
              <w:spacing w:before="120" w:after="120"/>
              <w:contextualSpacing/>
              <w:jc w:val="both"/>
              <w:rPr>
                <w:rFonts w:cs="Helvetica"/>
                <w:sz w:val="22"/>
              </w:rPr>
            </w:pPr>
            <w:r w:rsidRPr="0066215E">
              <w:rPr>
                <w:rFonts w:cs="Helvetica"/>
                <w:sz w:val="22"/>
              </w:rPr>
              <w:t>Participate in periodic audits of premises and educational requirements by the NT</w:t>
            </w:r>
            <w:r w:rsidR="00570FD7">
              <w:rPr>
                <w:rFonts w:cs="Helvetica"/>
                <w:sz w:val="22"/>
              </w:rPr>
              <w:t> </w:t>
            </w:r>
            <w:r w:rsidRPr="0066215E">
              <w:rPr>
                <w:rFonts w:cs="Helvetica"/>
                <w:sz w:val="22"/>
              </w:rPr>
              <w:t>Department of Health.</w:t>
            </w:r>
          </w:p>
        </w:tc>
      </w:tr>
      <w:tr w:rsidR="00B9482C" w:rsidRPr="0066215E" w:rsidTr="009D1361">
        <w:trPr>
          <w:trHeight w:val="3778"/>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lastRenderedPageBreak/>
              <w:t xml:space="preserve">Documentation </w:t>
            </w:r>
            <w:r w:rsidRPr="0066215E">
              <w:rPr>
                <w:rFonts w:cs="Helvetica"/>
                <w:i/>
                <w:color w:val="808080"/>
                <w:sz w:val="22"/>
              </w:rPr>
              <w:t>(including necessary information to the patient)</w:t>
            </w:r>
          </w:p>
        </w:tc>
        <w:tc>
          <w:tcPr>
            <w:tcW w:w="8930" w:type="dxa"/>
            <w:gridSpan w:val="3"/>
            <w:shd w:val="clear" w:color="auto" w:fill="auto"/>
            <w:vAlign w:val="center"/>
          </w:tcPr>
          <w:p w:rsidR="00B9482C" w:rsidRPr="0066215E" w:rsidRDefault="00B9482C" w:rsidP="00917455">
            <w:pPr>
              <w:spacing w:before="120" w:after="120"/>
              <w:contextualSpacing/>
              <w:jc w:val="both"/>
              <w:rPr>
                <w:rFonts w:cs="Helvetica"/>
                <w:b/>
                <w:sz w:val="22"/>
              </w:rPr>
            </w:pPr>
            <w:r w:rsidRPr="0066215E">
              <w:rPr>
                <w:rFonts w:cs="Helvetica"/>
                <w:b/>
                <w:sz w:val="22"/>
              </w:rPr>
              <w:t>Documentation, policies and procedures must be kept for the following</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 xml:space="preserve">Pre-vaccination checklist; </w:t>
            </w:r>
          </w:p>
          <w:p w:rsidR="00B9482C" w:rsidRPr="0066215E" w:rsidRDefault="00B9482C" w:rsidP="00917455">
            <w:pPr>
              <w:widowControl/>
              <w:numPr>
                <w:ilvl w:val="0"/>
                <w:numId w:val="20"/>
              </w:numPr>
              <w:spacing w:before="120" w:after="120"/>
              <w:ind w:left="714" w:hanging="357"/>
              <w:contextualSpacing/>
              <w:jc w:val="both"/>
              <w:rPr>
                <w:rFonts w:cs="Helvetica"/>
                <w:sz w:val="22"/>
              </w:rPr>
            </w:pPr>
            <w:r w:rsidRPr="0066215E">
              <w:rPr>
                <w:rFonts w:cs="Helvetica"/>
                <w:sz w:val="22"/>
              </w:rPr>
              <w:t>Storage and handling of vaccines and cold chain monitoring</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Patient exclusion and referral to general practitioner or other clinics</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Obtaining and documenting patient consent</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Disposal of sharps and infection control procedures</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Post vaccination patient monitoring</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Responses to emergencies including anaphylaxis</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Clinical record and provision of information to the Australian Immunisation Register</w:t>
            </w:r>
          </w:p>
          <w:p w:rsidR="00B9482C" w:rsidRPr="0066215E" w:rsidRDefault="00B9482C" w:rsidP="00917455">
            <w:pPr>
              <w:widowControl/>
              <w:numPr>
                <w:ilvl w:val="0"/>
                <w:numId w:val="20"/>
              </w:numPr>
              <w:spacing w:before="120" w:after="120"/>
              <w:contextualSpacing/>
              <w:jc w:val="both"/>
              <w:rPr>
                <w:rFonts w:cs="Helvetica"/>
                <w:sz w:val="22"/>
              </w:rPr>
            </w:pPr>
            <w:r w:rsidRPr="0066215E">
              <w:rPr>
                <w:rFonts w:cs="Helvetica"/>
                <w:sz w:val="22"/>
              </w:rPr>
              <w:t>Management of staff training records</w:t>
            </w:r>
          </w:p>
          <w:p w:rsidR="00B9482C" w:rsidRPr="0066215E" w:rsidRDefault="00B9482C" w:rsidP="00917455">
            <w:pPr>
              <w:widowControl/>
              <w:numPr>
                <w:ilvl w:val="0"/>
                <w:numId w:val="20"/>
              </w:numPr>
              <w:spacing w:before="0" w:after="0"/>
              <w:ind w:left="714" w:hanging="357"/>
              <w:contextualSpacing/>
              <w:jc w:val="both"/>
              <w:rPr>
                <w:rFonts w:cs="Helvetica"/>
                <w:sz w:val="22"/>
              </w:rPr>
            </w:pPr>
            <w:r w:rsidRPr="0066215E">
              <w:rPr>
                <w:rFonts w:cs="Helvetica"/>
                <w:sz w:val="22"/>
              </w:rPr>
              <w:t xml:space="preserve">Completion of </w:t>
            </w:r>
            <w:r w:rsidRPr="00917455">
              <w:rPr>
                <w:rFonts w:cs="Helvetica"/>
                <w:sz w:val="22"/>
              </w:rPr>
              <w:t>NT Adverse Event following Immunisation form if required.</w:t>
            </w:r>
          </w:p>
          <w:p w:rsidR="00B9482C" w:rsidRPr="0066215E" w:rsidRDefault="00B9482C" w:rsidP="00917455">
            <w:pPr>
              <w:pStyle w:val="ListParagraph"/>
              <w:widowControl/>
              <w:numPr>
                <w:ilvl w:val="0"/>
                <w:numId w:val="20"/>
              </w:numPr>
              <w:spacing w:before="0" w:after="120"/>
              <w:ind w:left="714" w:hanging="357"/>
              <w:jc w:val="both"/>
              <w:rPr>
                <w:rFonts w:cs="Helvetica"/>
                <w:sz w:val="22"/>
              </w:rPr>
            </w:pPr>
            <w:r w:rsidRPr="0066215E">
              <w:rPr>
                <w:rFonts w:cs="Helvetica"/>
                <w:sz w:val="22"/>
              </w:rPr>
              <w:t>Required documentation to be sent to Australian Immunisation Register within 14</w:t>
            </w:r>
            <w:r w:rsidR="007A2564">
              <w:rPr>
                <w:rFonts w:cs="Helvetica"/>
                <w:sz w:val="22"/>
              </w:rPr>
              <w:t> </w:t>
            </w:r>
            <w:r w:rsidRPr="0066215E">
              <w:rPr>
                <w:rFonts w:cs="Helvetica"/>
                <w:sz w:val="22"/>
              </w:rPr>
              <w:t>days of vaccine administration;</w:t>
            </w:r>
          </w:p>
          <w:p w:rsidR="00B9482C" w:rsidRPr="0066215E" w:rsidRDefault="00B9482C" w:rsidP="00917455">
            <w:pPr>
              <w:pStyle w:val="ListParagraph"/>
              <w:widowControl/>
              <w:numPr>
                <w:ilvl w:val="0"/>
                <w:numId w:val="20"/>
              </w:numPr>
              <w:spacing w:before="120" w:after="120"/>
              <w:jc w:val="both"/>
              <w:rPr>
                <w:rFonts w:cs="Helvetica"/>
                <w:sz w:val="22"/>
              </w:rPr>
            </w:pPr>
            <w:r w:rsidRPr="0066215E">
              <w:rPr>
                <w:rFonts w:cs="Helvetica"/>
                <w:sz w:val="22"/>
              </w:rPr>
              <w:t xml:space="preserve">All records must be kept for a minimum of seven years from vaccine administration date,  be available for inspection on demand by an authorised officer under the </w:t>
            </w:r>
            <w:r w:rsidRPr="0066215E">
              <w:rPr>
                <w:rFonts w:cs="Helvetica"/>
                <w:i/>
                <w:sz w:val="22"/>
              </w:rPr>
              <w:t xml:space="preserve">Medicines, Poisons and Therapeutic Goods Act </w:t>
            </w:r>
            <w:r w:rsidRPr="0066215E">
              <w:rPr>
                <w:rFonts w:cs="Helvetica"/>
                <w:sz w:val="22"/>
              </w:rPr>
              <w:t>and</w:t>
            </w:r>
            <w:r w:rsidRPr="0066215E">
              <w:rPr>
                <w:rFonts w:cs="Helvetica"/>
                <w:i/>
                <w:sz w:val="22"/>
              </w:rPr>
              <w:t xml:space="preserve"> </w:t>
            </w:r>
            <w:r w:rsidRPr="0066215E">
              <w:rPr>
                <w:rFonts w:cs="Helvetica"/>
                <w:sz w:val="22"/>
              </w:rPr>
              <w:t>be managed following data security and privacy standards.</w:t>
            </w:r>
          </w:p>
          <w:p w:rsidR="00B9482C" w:rsidRPr="0066215E" w:rsidRDefault="00B9482C" w:rsidP="00917455">
            <w:pPr>
              <w:pStyle w:val="ListParagraph"/>
              <w:widowControl/>
              <w:numPr>
                <w:ilvl w:val="0"/>
                <w:numId w:val="20"/>
              </w:numPr>
              <w:spacing w:before="120" w:after="120"/>
              <w:jc w:val="both"/>
              <w:rPr>
                <w:rFonts w:cs="Helvetica"/>
                <w:sz w:val="22"/>
              </w:rPr>
            </w:pPr>
            <w:r w:rsidRPr="0066215E">
              <w:rPr>
                <w:rFonts w:cs="Helvetica"/>
                <w:sz w:val="22"/>
              </w:rPr>
              <w:t>The records must include the following information:</w:t>
            </w:r>
          </w:p>
          <w:p w:rsidR="00B9482C" w:rsidRPr="0066215E" w:rsidRDefault="00B9482C" w:rsidP="00917455">
            <w:pPr>
              <w:pStyle w:val="ListParagraph"/>
              <w:widowControl/>
              <w:numPr>
                <w:ilvl w:val="1"/>
                <w:numId w:val="20"/>
              </w:numPr>
              <w:spacing w:before="120" w:after="120"/>
              <w:jc w:val="both"/>
              <w:rPr>
                <w:rFonts w:cs="Helvetica"/>
                <w:sz w:val="22"/>
              </w:rPr>
            </w:pPr>
            <w:r w:rsidRPr="0066215E">
              <w:rPr>
                <w:rFonts w:cs="Helvetica"/>
                <w:sz w:val="22"/>
              </w:rPr>
              <w:t>Vaccine brand, batch number and expiry date, patient name, address, date of birth, contact details, date the vaccines was given and pharmacist name and signature.</w:t>
            </w:r>
          </w:p>
        </w:tc>
      </w:tr>
      <w:tr w:rsidR="00B9482C" w:rsidRPr="0066215E" w:rsidTr="009D1361">
        <w:trPr>
          <w:trHeight w:val="468"/>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Related Documents</w:t>
            </w:r>
          </w:p>
        </w:tc>
        <w:tc>
          <w:tcPr>
            <w:tcW w:w="8930" w:type="dxa"/>
            <w:gridSpan w:val="3"/>
            <w:shd w:val="clear" w:color="auto" w:fill="auto"/>
            <w:vAlign w:val="center"/>
          </w:tcPr>
          <w:p w:rsidR="00B9482C" w:rsidRPr="0066215E" w:rsidRDefault="00B9482C" w:rsidP="00917455">
            <w:pPr>
              <w:tabs>
                <w:tab w:val="left" w:pos="8721"/>
              </w:tabs>
              <w:autoSpaceDE w:val="0"/>
              <w:autoSpaceDN w:val="0"/>
              <w:adjustRightInd w:val="0"/>
              <w:spacing w:before="120" w:after="120"/>
              <w:contextualSpacing/>
              <w:jc w:val="both"/>
              <w:rPr>
                <w:rFonts w:cs="Helvetica"/>
                <w:color w:val="000000"/>
                <w:sz w:val="22"/>
                <w:lang w:eastAsia="en-AU"/>
              </w:rPr>
            </w:pPr>
            <w:r w:rsidRPr="0066215E">
              <w:rPr>
                <w:rFonts w:cs="Helvetica"/>
                <w:color w:val="000000"/>
                <w:sz w:val="22"/>
                <w:lang w:eastAsia="en-AU"/>
              </w:rPr>
              <w:t xml:space="preserve">This protocol is to be used in conjunction with: </w:t>
            </w:r>
          </w:p>
          <w:p w:rsidR="00B9482C" w:rsidRPr="0066215E" w:rsidRDefault="00B9482C" w:rsidP="00917455">
            <w:pPr>
              <w:pStyle w:val="ListParagraph"/>
              <w:widowControl/>
              <w:numPr>
                <w:ilvl w:val="0"/>
                <w:numId w:val="17"/>
              </w:numPr>
              <w:tabs>
                <w:tab w:val="left" w:pos="8721"/>
              </w:tabs>
              <w:autoSpaceDE w:val="0"/>
              <w:autoSpaceDN w:val="0"/>
              <w:adjustRightInd w:val="0"/>
              <w:spacing w:before="120" w:after="120"/>
              <w:jc w:val="both"/>
              <w:rPr>
                <w:rFonts w:cs="Helvetica"/>
                <w:color w:val="000000"/>
                <w:sz w:val="22"/>
                <w:lang w:eastAsia="en-AU"/>
              </w:rPr>
            </w:pPr>
            <w:r w:rsidRPr="0066215E">
              <w:rPr>
                <w:rFonts w:cs="Helvetica"/>
                <w:color w:val="000000"/>
                <w:sz w:val="22"/>
                <w:lang w:eastAsia="en-AU"/>
              </w:rPr>
              <w:t xml:space="preserve">Australian Immunisation Handbook electronic version on </w:t>
            </w:r>
          </w:p>
          <w:p w:rsidR="00B9482C" w:rsidRPr="0066215E" w:rsidRDefault="00B9482C" w:rsidP="00917455">
            <w:pPr>
              <w:tabs>
                <w:tab w:val="left" w:pos="8721"/>
              </w:tabs>
              <w:autoSpaceDE w:val="0"/>
              <w:autoSpaceDN w:val="0"/>
              <w:adjustRightInd w:val="0"/>
              <w:spacing w:before="120" w:after="120"/>
              <w:ind w:left="360"/>
              <w:contextualSpacing/>
              <w:jc w:val="both"/>
              <w:rPr>
                <w:rStyle w:val="Hyperlink"/>
                <w:rFonts w:cs="Helvetica"/>
                <w:sz w:val="22"/>
                <w:lang w:eastAsia="en-AU"/>
              </w:rPr>
            </w:pPr>
            <w:hyperlink r:id="rId10" w:history="1">
              <w:r w:rsidRPr="0066215E">
                <w:rPr>
                  <w:rStyle w:val="Hyperlink"/>
                  <w:rFonts w:cs="Helvetica"/>
                  <w:sz w:val="22"/>
                  <w:lang w:eastAsia="en-AU"/>
                </w:rPr>
                <w:t>http://www.health.gov.au/internet/immunise/publishing.nsf/Content/Handbook10</w:t>
              </w:r>
              <w:r w:rsidR="00A267A9">
                <w:rPr>
                  <w:rStyle w:val="Hyperlink"/>
                  <w:rFonts w:cs="Helvetica"/>
                  <w:sz w:val="22"/>
                  <w:lang w:eastAsia="en-AU"/>
                </w:rPr>
                <w:noBreakHyphen/>
              </w:r>
              <w:r w:rsidRPr="0066215E">
                <w:rPr>
                  <w:rStyle w:val="Hyperlink"/>
                  <w:rFonts w:cs="Helvetica"/>
                  <w:sz w:val="22"/>
                  <w:lang w:eastAsia="en-AU"/>
                </w:rPr>
                <w:t>home</w:t>
              </w:r>
            </w:hyperlink>
          </w:p>
          <w:p w:rsidR="00B9482C" w:rsidRPr="0066215E" w:rsidRDefault="00B9482C" w:rsidP="00917455">
            <w:pPr>
              <w:pStyle w:val="ListParagraph"/>
              <w:widowControl/>
              <w:numPr>
                <w:ilvl w:val="0"/>
                <w:numId w:val="18"/>
              </w:numPr>
              <w:tabs>
                <w:tab w:val="left" w:pos="8721"/>
              </w:tabs>
              <w:autoSpaceDE w:val="0"/>
              <w:autoSpaceDN w:val="0"/>
              <w:adjustRightInd w:val="0"/>
              <w:spacing w:before="120" w:after="120"/>
              <w:jc w:val="both"/>
              <w:rPr>
                <w:rStyle w:val="Hyperlink"/>
                <w:rFonts w:cs="Helvetica"/>
                <w:color w:val="000000" w:themeColor="text1"/>
                <w:sz w:val="22"/>
                <w:lang w:eastAsia="en-AU"/>
              </w:rPr>
            </w:pPr>
            <w:r w:rsidRPr="0066215E">
              <w:rPr>
                <w:rStyle w:val="Hyperlink"/>
                <w:rFonts w:cs="Helvetica"/>
                <w:color w:val="000000" w:themeColor="text1"/>
                <w:sz w:val="22"/>
                <w:lang w:eastAsia="en-AU"/>
              </w:rPr>
              <w:t>‘National Vaccine Storage Guidelines Strive for 5’ (2</w:t>
            </w:r>
            <w:r w:rsidRPr="0066215E">
              <w:rPr>
                <w:rStyle w:val="Hyperlink"/>
                <w:rFonts w:cs="Helvetica"/>
                <w:color w:val="000000" w:themeColor="text1"/>
                <w:sz w:val="22"/>
                <w:vertAlign w:val="superscript"/>
                <w:lang w:eastAsia="en-AU"/>
              </w:rPr>
              <w:t>nd</w:t>
            </w:r>
            <w:r w:rsidRPr="0066215E">
              <w:rPr>
                <w:rStyle w:val="Hyperlink"/>
                <w:rFonts w:cs="Helvetica"/>
                <w:color w:val="000000" w:themeColor="text1"/>
                <w:sz w:val="22"/>
                <w:lang w:eastAsia="en-AU"/>
              </w:rPr>
              <w:t xml:space="preserve"> edition) electronic version</w:t>
            </w:r>
          </w:p>
          <w:p w:rsidR="00B9482C" w:rsidRPr="0066215E" w:rsidRDefault="00B9482C" w:rsidP="00917455">
            <w:pPr>
              <w:tabs>
                <w:tab w:val="left" w:pos="8721"/>
              </w:tabs>
              <w:autoSpaceDE w:val="0"/>
              <w:autoSpaceDN w:val="0"/>
              <w:adjustRightInd w:val="0"/>
              <w:spacing w:before="120" w:after="120"/>
              <w:ind w:left="360"/>
              <w:contextualSpacing/>
              <w:jc w:val="both"/>
              <w:rPr>
                <w:rStyle w:val="Hyperlink"/>
                <w:rFonts w:cs="Helvetica"/>
                <w:sz w:val="22"/>
                <w:lang w:eastAsia="en-AU"/>
              </w:rPr>
            </w:pPr>
            <w:hyperlink r:id="rId11" w:history="1">
              <w:r w:rsidRPr="0066215E">
                <w:rPr>
                  <w:rStyle w:val="Hyperlink"/>
                  <w:rFonts w:cs="Helvetica"/>
                  <w:sz w:val="22"/>
                  <w:lang w:eastAsia="en-AU"/>
                </w:rPr>
                <w:t>http://www.immunise.health.gov.au/internet/immunise/publishing.nsf/Content/59F63C79DAFAFB38CA257B020002C371/$File/strive-for-5-guidelines.pdf</w:t>
              </w:r>
            </w:hyperlink>
          </w:p>
          <w:p w:rsidR="00B9482C" w:rsidRPr="0066215E" w:rsidRDefault="00B9482C" w:rsidP="00917455">
            <w:pPr>
              <w:pStyle w:val="ListParagraph"/>
              <w:widowControl/>
              <w:numPr>
                <w:ilvl w:val="0"/>
                <w:numId w:val="19"/>
              </w:numPr>
              <w:tabs>
                <w:tab w:val="left" w:pos="8721"/>
              </w:tabs>
              <w:autoSpaceDE w:val="0"/>
              <w:autoSpaceDN w:val="0"/>
              <w:adjustRightInd w:val="0"/>
              <w:spacing w:before="120" w:after="120"/>
              <w:jc w:val="both"/>
              <w:rPr>
                <w:rStyle w:val="Hyperlink"/>
                <w:rFonts w:cs="Helvetica"/>
                <w:color w:val="000000" w:themeColor="text1"/>
                <w:sz w:val="22"/>
                <w:lang w:eastAsia="en-AU"/>
              </w:rPr>
            </w:pPr>
            <w:r w:rsidRPr="0066215E">
              <w:rPr>
                <w:rStyle w:val="Hyperlink"/>
                <w:rFonts w:cs="Helvetica"/>
                <w:color w:val="000000" w:themeColor="text1"/>
                <w:sz w:val="22"/>
                <w:lang w:eastAsia="en-AU"/>
              </w:rPr>
              <w:t>NT Immunisation Program website</w:t>
            </w:r>
          </w:p>
          <w:p w:rsidR="00B9482C" w:rsidRPr="0066215E" w:rsidRDefault="00B9482C" w:rsidP="00917455">
            <w:pPr>
              <w:tabs>
                <w:tab w:val="left" w:pos="8721"/>
              </w:tabs>
              <w:autoSpaceDE w:val="0"/>
              <w:autoSpaceDN w:val="0"/>
              <w:adjustRightInd w:val="0"/>
              <w:spacing w:before="120" w:after="120"/>
              <w:ind w:left="360"/>
              <w:contextualSpacing/>
              <w:jc w:val="both"/>
              <w:rPr>
                <w:rStyle w:val="Hyperlink"/>
                <w:rFonts w:cs="Helvetica"/>
                <w:sz w:val="22"/>
                <w:lang w:eastAsia="en-AU"/>
              </w:rPr>
            </w:pPr>
            <w:r w:rsidRPr="0066215E">
              <w:rPr>
                <w:rStyle w:val="Hyperlink"/>
                <w:rFonts w:cs="Helvetica"/>
                <w:sz w:val="22"/>
                <w:lang w:eastAsia="en-AU"/>
              </w:rPr>
              <w:t>https://health.nt.gov.au/professionals/centre-for-disease-control/immunisation</w:t>
            </w:r>
            <w:r w:rsidR="00A267A9">
              <w:rPr>
                <w:rStyle w:val="Hyperlink"/>
                <w:rFonts w:cs="Helvetica"/>
                <w:sz w:val="22"/>
                <w:lang w:eastAsia="en-AU"/>
              </w:rPr>
              <w:t>-</w:t>
            </w:r>
            <w:r w:rsidRPr="0066215E">
              <w:rPr>
                <w:rStyle w:val="Hyperlink"/>
                <w:rFonts w:cs="Helvetica"/>
                <w:sz w:val="22"/>
                <w:lang w:eastAsia="en-AU"/>
              </w:rPr>
              <w:t>health-professionals</w:t>
            </w:r>
          </w:p>
          <w:p w:rsidR="00B9482C" w:rsidRPr="0066215E" w:rsidRDefault="00B9482C" w:rsidP="00917455">
            <w:pPr>
              <w:pStyle w:val="ListParagraph"/>
              <w:widowControl/>
              <w:numPr>
                <w:ilvl w:val="0"/>
                <w:numId w:val="17"/>
              </w:numPr>
              <w:tabs>
                <w:tab w:val="left" w:pos="8721"/>
              </w:tabs>
              <w:autoSpaceDE w:val="0"/>
              <w:autoSpaceDN w:val="0"/>
              <w:adjustRightInd w:val="0"/>
              <w:spacing w:before="120" w:after="120"/>
              <w:jc w:val="both"/>
              <w:rPr>
                <w:rStyle w:val="Hyperlink"/>
                <w:rFonts w:cs="Helvetica"/>
                <w:color w:val="000000" w:themeColor="text1"/>
                <w:sz w:val="22"/>
                <w:lang w:eastAsia="en-AU"/>
              </w:rPr>
            </w:pPr>
            <w:r w:rsidRPr="0066215E">
              <w:rPr>
                <w:rStyle w:val="Hyperlink"/>
                <w:rFonts w:cs="Helvetica"/>
                <w:color w:val="000000" w:themeColor="text1"/>
                <w:sz w:val="22"/>
                <w:lang w:eastAsia="en-AU"/>
              </w:rPr>
              <w:t>‘Premises and Equipment Standard for Pharmacy Based Immunisation Programs’ as published by the NT Pharmacy Premises Committee</w:t>
            </w:r>
          </w:p>
          <w:p w:rsidR="00B9482C" w:rsidRPr="0066215E" w:rsidRDefault="00A267A9" w:rsidP="00917455">
            <w:pPr>
              <w:tabs>
                <w:tab w:val="left" w:pos="8721"/>
              </w:tabs>
              <w:autoSpaceDE w:val="0"/>
              <w:autoSpaceDN w:val="0"/>
              <w:adjustRightInd w:val="0"/>
              <w:spacing w:before="120" w:after="120"/>
              <w:ind w:left="360"/>
              <w:contextualSpacing/>
              <w:jc w:val="both"/>
              <w:rPr>
                <w:rFonts w:cs="Helvetica"/>
                <w:color w:val="000000"/>
                <w:sz w:val="22"/>
                <w:lang w:eastAsia="en-AU"/>
              </w:rPr>
            </w:pPr>
            <w:hyperlink r:id="rId12" w:history="1">
              <w:r w:rsidRPr="00DD3A96">
                <w:rPr>
                  <w:rStyle w:val="Hyperlink"/>
                  <w:rFonts w:cs="Helvetica"/>
                  <w:sz w:val="22"/>
                  <w:lang w:eastAsia="en-AU"/>
                </w:rPr>
                <w:t>https://health.nt.gov.au/health-governance/department-of-health/committees-regulations-advisory-groups/pharmacy-premises-committee</w:t>
              </w:r>
            </w:hyperlink>
          </w:p>
          <w:p w:rsidR="00B9482C" w:rsidRPr="0066215E" w:rsidRDefault="00B9482C" w:rsidP="00917455">
            <w:pPr>
              <w:pStyle w:val="ListParagraph"/>
              <w:widowControl/>
              <w:numPr>
                <w:ilvl w:val="0"/>
                <w:numId w:val="17"/>
              </w:numPr>
              <w:tabs>
                <w:tab w:val="left" w:pos="8721"/>
              </w:tabs>
              <w:autoSpaceDE w:val="0"/>
              <w:autoSpaceDN w:val="0"/>
              <w:adjustRightInd w:val="0"/>
              <w:spacing w:before="120" w:after="120"/>
              <w:jc w:val="both"/>
              <w:rPr>
                <w:rFonts w:cs="Helvetica"/>
                <w:color w:val="000000"/>
                <w:sz w:val="22"/>
                <w:lang w:eastAsia="en-AU"/>
              </w:rPr>
            </w:pPr>
            <w:r w:rsidRPr="0066215E">
              <w:rPr>
                <w:rFonts w:cs="Helvetica"/>
                <w:color w:val="000000"/>
                <w:sz w:val="22"/>
                <w:lang w:eastAsia="en-AU"/>
              </w:rPr>
              <w:t>Pharmaceutical Society of Australia ‘Practice Guidelines for the provision of Immunisation Services within a Pharmacy’</w:t>
            </w:r>
          </w:p>
          <w:p w:rsidR="00B9482C" w:rsidRPr="0066215E" w:rsidRDefault="00B9482C" w:rsidP="00917455">
            <w:pPr>
              <w:tabs>
                <w:tab w:val="left" w:pos="8721"/>
              </w:tabs>
              <w:autoSpaceDE w:val="0"/>
              <w:autoSpaceDN w:val="0"/>
              <w:adjustRightInd w:val="0"/>
              <w:spacing w:before="120" w:after="120"/>
              <w:ind w:left="360"/>
              <w:contextualSpacing/>
              <w:jc w:val="both"/>
              <w:rPr>
                <w:rFonts w:cs="Helvetica"/>
                <w:color w:val="000000"/>
                <w:sz w:val="22"/>
                <w:lang w:eastAsia="en-AU"/>
              </w:rPr>
            </w:pPr>
            <w:hyperlink r:id="rId13" w:history="1">
              <w:r w:rsidRPr="0066215E">
                <w:rPr>
                  <w:rStyle w:val="Hyperlink"/>
                  <w:rFonts w:cs="Helvetica"/>
                  <w:sz w:val="22"/>
                  <w:lang w:eastAsia="en-AU"/>
                </w:rPr>
                <w:t>http://www.psa.org.au</w:t>
              </w:r>
            </w:hyperlink>
          </w:p>
        </w:tc>
      </w:tr>
      <w:tr w:rsidR="00B9482C" w:rsidRPr="0066215E" w:rsidTr="009D1361">
        <w:trPr>
          <w:trHeight w:val="449"/>
        </w:trPr>
        <w:tc>
          <w:tcPr>
            <w:tcW w:w="1985" w:type="dxa"/>
            <w:shd w:val="clear" w:color="auto" w:fill="auto"/>
            <w:vAlign w:val="center"/>
          </w:tcPr>
          <w:p w:rsidR="00B9482C" w:rsidRPr="0066215E" w:rsidRDefault="00B9482C" w:rsidP="00A45431">
            <w:pPr>
              <w:pageBreakBefore/>
              <w:spacing w:before="120" w:after="120"/>
              <w:contextualSpacing/>
              <w:rPr>
                <w:rFonts w:cs="Helvetica"/>
                <w:b/>
                <w:sz w:val="22"/>
              </w:rPr>
            </w:pPr>
            <w:r w:rsidRPr="0066215E">
              <w:rPr>
                <w:rFonts w:cs="Helvetica"/>
                <w:b/>
                <w:sz w:val="22"/>
              </w:rPr>
              <w:lastRenderedPageBreak/>
              <w:t xml:space="preserve">Head of Immunisation (Medical Officer) </w:t>
            </w:r>
          </w:p>
        </w:tc>
        <w:tc>
          <w:tcPr>
            <w:tcW w:w="3996" w:type="dxa"/>
            <w:shd w:val="clear" w:color="auto" w:fill="auto"/>
          </w:tcPr>
          <w:p w:rsidR="00B9482C" w:rsidRPr="0066215E" w:rsidRDefault="00B9482C" w:rsidP="0029428B">
            <w:pPr>
              <w:spacing w:before="120" w:after="120"/>
              <w:contextualSpacing/>
              <w:rPr>
                <w:rFonts w:cs="Helvetica"/>
                <w:b/>
                <w:sz w:val="22"/>
              </w:rPr>
            </w:pPr>
            <w:r w:rsidRPr="0066215E">
              <w:rPr>
                <w:rFonts w:cs="Helvetica"/>
                <w:b/>
                <w:sz w:val="22"/>
              </w:rPr>
              <w:t>Signature</w:t>
            </w:r>
          </w:p>
          <w:p w:rsidR="00B9482C" w:rsidRPr="0066215E" w:rsidRDefault="00CA118E" w:rsidP="0029428B">
            <w:pPr>
              <w:spacing w:before="120" w:after="120"/>
              <w:contextualSpacing/>
              <w:rPr>
                <w:rFonts w:cs="Helvetica"/>
                <w:b/>
                <w:sz w:val="22"/>
              </w:rPr>
            </w:pPr>
            <w:r>
              <w:rPr>
                <w:noProof/>
                <w:lang w:val="en-AU" w:eastAsia="en-AU"/>
              </w:rPr>
              <w:drawing>
                <wp:inline distT="0" distB="0" distL="0" distR="0" wp14:anchorId="4E0B46C5" wp14:editId="21A6D32D">
                  <wp:extent cx="1257300" cy="586740"/>
                  <wp:effectExtent l="0" t="0" r="0" b="3810"/>
                  <wp:docPr id="2" name="Picture 2" title="Signature - Rosalind We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57300" cy="586740"/>
                          </a:xfrm>
                          <a:prstGeom prst="rect">
                            <a:avLst/>
                          </a:prstGeom>
                        </pic:spPr>
                      </pic:pic>
                    </a:graphicData>
                  </a:graphic>
                </wp:inline>
              </w:drawing>
            </w:r>
          </w:p>
        </w:tc>
        <w:tc>
          <w:tcPr>
            <w:tcW w:w="2666" w:type="dxa"/>
            <w:shd w:val="clear" w:color="auto" w:fill="auto"/>
          </w:tcPr>
          <w:p w:rsidR="00B9482C" w:rsidRPr="0066215E" w:rsidRDefault="00B9482C" w:rsidP="0029428B">
            <w:pPr>
              <w:spacing w:before="120" w:after="120"/>
              <w:contextualSpacing/>
              <w:rPr>
                <w:rFonts w:cs="Helvetica"/>
                <w:b/>
                <w:sz w:val="22"/>
              </w:rPr>
            </w:pPr>
            <w:r w:rsidRPr="0066215E">
              <w:rPr>
                <w:rFonts w:cs="Helvetica"/>
                <w:b/>
                <w:sz w:val="22"/>
              </w:rPr>
              <w:t>Print name</w:t>
            </w:r>
          </w:p>
          <w:p w:rsidR="00B9482C" w:rsidRPr="0066215E" w:rsidRDefault="00B9482C" w:rsidP="0029428B">
            <w:pPr>
              <w:spacing w:before="120" w:after="120"/>
              <w:contextualSpacing/>
              <w:rPr>
                <w:rFonts w:cs="Helvetica"/>
                <w:b/>
                <w:sz w:val="22"/>
              </w:rPr>
            </w:pPr>
            <w:r w:rsidRPr="0066215E">
              <w:rPr>
                <w:rFonts w:cs="Helvetica"/>
                <w:b/>
                <w:sz w:val="22"/>
              </w:rPr>
              <w:t>Rosalind Webby</w:t>
            </w:r>
          </w:p>
        </w:tc>
        <w:tc>
          <w:tcPr>
            <w:tcW w:w="2268" w:type="dxa"/>
            <w:shd w:val="clear" w:color="auto" w:fill="auto"/>
          </w:tcPr>
          <w:p w:rsidR="00C0187B" w:rsidRDefault="00B9482C" w:rsidP="0029428B">
            <w:pPr>
              <w:spacing w:before="120" w:after="120"/>
              <w:contextualSpacing/>
              <w:rPr>
                <w:rFonts w:cs="Helvetica"/>
                <w:b/>
                <w:sz w:val="22"/>
              </w:rPr>
            </w:pPr>
            <w:r w:rsidRPr="0066215E">
              <w:rPr>
                <w:rFonts w:cs="Helvetica"/>
                <w:b/>
                <w:sz w:val="22"/>
              </w:rPr>
              <w:t>Date</w:t>
            </w:r>
          </w:p>
          <w:p w:rsidR="00B9482C" w:rsidRPr="0066215E" w:rsidRDefault="00C0187B" w:rsidP="0029428B">
            <w:pPr>
              <w:spacing w:before="120" w:after="120"/>
              <w:contextualSpacing/>
              <w:rPr>
                <w:rFonts w:cs="Helvetica"/>
                <w:b/>
                <w:sz w:val="22"/>
              </w:rPr>
            </w:pPr>
            <w:r w:rsidRPr="00C0187B">
              <w:rPr>
                <w:rFonts w:cs="Helvetica"/>
                <w:sz w:val="22"/>
              </w:rPr>
              <w:t>10 March 2017</w:t>
            </w:r>
          </w:p>
        </w:tc>
      </w:tr>
      <w:tr w:rsidR="00B9482C" w:rsidRPr="0066215E" w:rsidTr="009D1361">
        <w:trPr>
          <w:trHeight w:val="583"/>
        </w:trPr>
        <w:tc>
          <w:tcPr>
            <w:tcW w:w="1985" w:type="dxa"/>
            <w:shd w:val="clear" w:color="auto" w:fill="auto"/>
            <w:vAlign w:val="center"/>
          </w:tcPr>
          <w:p w:rsidR="00B9482C" w:rsidRPr="0066215E" w:rsidRDefault="00B9482C" w:rsidP="0029428B">
            <w:pPr>
              <w:spacing w:before="120" w:after="120"/>
              <w:contextualSpacing/>
              <w:rPr>
                <w:rFonts w:cs="Helvetica"/>
                <w:b/>
                <w:sz w:val="22"/>
              </w:rPr>
            </w:pPr>
            <w:r w:rsidRPr="0066215E">
              <w:rPr>
                <w:rFonts w:cs="Helvetica"/>
                <w:b/>
                <w:sz w:val="22"/>
              </w:rPr>
              <w:t>Chief Health Officer</w:t>
            </w:r>
          </w:p>
        </w:tc>
        <w:tc>
          <w:tcPr>
            <w:tcW w:w="3996" w:type="dxa"/>
            <w:shd w:val="clear" w:color="auto" w:fill="auto"/>
          </w:tcPr>
          <w:p w:rsidR="00B9482C" w:rsidRPr="0066215E" w:rsidRDefault="00B9482C" w:rsidP="0029428B">
            <w:pPr>
              <w:spacing w:before="120" w:after="120"/>
              <w:contextualSpacing/>
              <w:rPr>
                <w:rFonts w:cs="Helvetica"/>
                <w:b/>
                <w:sz w:val="22"/>
              </w:rPr>
            </w:pPr>
            <w:r w:rsidRPr="0066215E">
              <w:rPr>
                <w:rFonts w:cs="Helvetica"/>
                <w:b/>
                <w:sz w:val="22"/>
              </w:rPr>
              <w:t>Signature</w:t>
            </w:r>
          </w:p>
          <w:p w:rsidR="00B9482C" w:rsidRPr="0066215E" w:rsidRDefault="00A45431" w:rsidP="0029428B">
            <w:pPr>
              <w:spacing w:before="120" w:after="120"/>
              <w:contextualSpacing/>
              <w:rPr>
                <w:rFonts w:cs="Helvetica"/>
                <w:b/>
                <w:sz w:val="22"/>
              </w:rPr>
            </w:pPr>
            <w:r>
              <w:rPr>
                <w:noProof/>
                <w:lang w:val="en-AU" w:eastAsia="en-AU"/>
              </w:rPr>
              <w:drawing>
                <wp:inline distT="0" distB="0" distL="0" distR="0" wp14:anchorId="791AE10F" wp14:editId="173907F8">
                  <wp:extent cx="1196340" cy="487680"/>
                  <wp:effectExtent l="0" t="0" r="3810" b="7620"/>
                  <wp:docPr id="3" name="Picture 3" title="Signature - Hugh Heg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96340" cy="487680"/>
                          </a:xfrm>
                          <a:prstGeom prst="rect">
                            <a:avLst/>
                          </a:prstGeom>
                        </pic:spPr>
                      </pic:pic>
                    </a:graphicData>
                  </a:graphic>
                </wp:inline>
              </w:drawing>
            </w:r>
          </w:p>
        </w:tc>
        <w:tc>
          <w:tcPr>
            <w:tcW w:w="2666" w:type="dxa"/>
            <w:shd w:val="clear" w:color="auto" w:fill="auto"/>
          </w:tcPr>
          <w:p w:rsidR="00B9482C" w:rsidRPr="0066215E" w:rsidRDefault="00B9482C" w:rsidP="0029428B">
            <w:pPr>
              <w:spacing w:before="120" w:after="120"/>
              <w:contextualSpacing/>
              <w:rPr>
                <w:rFonts w:cs="Helvetica"/>
                <w:b/>
                <w:sz w:val="22"/>
              </w:rPr>
            </w:pPr>
            <w:r w:rsidRPr="0066215E">
              <w:rPr>
                <w:rFonts w:cs="Helvetica"/>
                <w:b/>
                <w:sz w:val="22"/>
              </w:rPr>
              <w:t>Print name</w:t>
            </w:r>
          </w:p>
          <w:p w:rsidR="00B9482C" w:rsidRPr="0066215E" w:rsidRDefault="00B9482C" w:rsidP="0029428B">
            <w:pPr>
              <w:spacing w:before="120" w:after="120"/>
              <w:contextualSpacing/>
              <w:rPr>
                <w:rFonts w:cs="Helvetica"/>
                <w:b/>
                <w:sz w:val="22"/>
              </w:rPr>
            </w:pPr>
            <w:r w:rsidRPr="0066215E">
              <w:rPr>
                <w:rFonts w:cs="Helvetica"/>
                <w:b/>
                <w:sz w:val="22"/>
              </w:rPr>
              <w:t>Hugh Heggie</w:t>
            </w:r>
          </w:p>
        </w:tc>
        <w:tc>
          <w:tcPr>
            <w:tcW w:w="2268" w:type="dxa"/>
            <w:shd w:val="clear" w:color="auto" w:fill="auto"/>
          </w:tcPr>
          <w:p w:rsidR="00B9482C" w:rsidRDefault="00B9482C" w:rsidP="0029428B">
            <w:pPr>
              <w:spacing w:before="120" w:after="120"/>
              <w:contextualSpacing/>
              <w:rPr>
                <w:rFonts w:cs="Helvetica"/>
                <w:b/>
                <w:sz w:val="22"/>
              </w:rPr>
            </w:pPr>
            <w:r w:rsidRPr="0066215E">
              <w:rPr>
                <w:rFonts w:cs="Helvetica"/>
                <w:b/>
                <w:sz w:val="22"/>
              </w:rPr>
              <w:t>Date</w:t>
            </w:r>
          </w:p>
          <w:p w:rsidR="00C0187B" w:rsidRPr="00C0187B" w:rsidRDefault="00C0187B" w:rsidP="0029428B">
            <w:pPr>
              <w:spacing w:before="120" w:after="120"/>
              <w:contextualSpacing/>
              <w:rPr>
                <w:rFonts w:cs="Helvetica"/>
                <w:sz w:val="22"/>
              </w:rPr>
            </w:pPr>
            <w:r w:rsidRPr="00C0187B">
              <w:rPr>
                <w:rFonts w:cs="Helvetica"/>
                <w:sz w:val="22"/>
              </w:rPr>
              <w:t>13 March 2017</w:t>
            </w:r>
          </w:p>
        </w:tc>
      </w:tr>
      <w:tr w:rsidR="00B9482C" w:rsidRPr="0066215E" w:rsidTr="009D1361">
        <w:trPr>
          <w:trHeight w:val="449"/>
        </w:trPr>
        <w:tc>
          <w:tcPr>
            <w:tcW w:w="1985" w:type="dxa"/>
            <w:shd w:val="clear" w:color="auto" w:fill="D9D9D9"/>
            <w:vAlign w:val="center"/>
          </w:tcPr>
          <w:p w:rsidR="00B9482C" w:rsidRPr="0066215E" w:rsidRDefault="00B9482C" w:rsidP="0029428B">
            <w:pPr>
              <w:spacing w:before="120" w:after="120"/>
              <w:contextualSpacing/>
              <w:rPr>
                <w:rFonts w:cs="Helvetica"/>
                <w:b/>
                <w:sz w:val="22"/>
              </w:rPr>
            </w:pPr>
            <w:r w:rsidRPr="0066215E">
              <w:rPr>
                <w:rFonts w:cs="Helvetica"/>
                <w:b/>
                <w:sz w:val="22"/>
              </w:rPr>
              <w:t>Date for Review</w:t>
            </w:r>
          </w:p>
        </w:tc>
        <w:tc>
          <w:tcPr>
            <w:tcW w:w="8930" w:type="dxa"/>
            <w:gridSpan w:val="3"/>
            <w:shd w:val="clear" w:color="auto" w:fill="D9D9D9"/>
            <w:vAlign w:val="center"/>
          </w:tcPr>
          <w:p w:rsidR="00B9482C" w:rsidRPr="0066215E" w:rsidRDefault="00B9482C" w:rsidP="0029428B">
            <w:pPr>
              <w:spacing w:before="120" w:after="120"/>
              <w:contextualSpacing/>
              <w:rPr>
                <w:rFonts w:cs="Helvetica"/>
                <w:sz w:val="22"/>
              </w:rPr>
            </w:pPr>
            <w:r w:rsidRPr="0066215E">
              <w:rPr>
                <w:rFonts w:cs="Helvetica"/>
                <w:sz w:val="22"/>
              </w:rPr>
              <w:t>3 years from date of approval by Chief Health Officer</w:t>
            </w:r>
          </w:p>
        </w:tc>
      </w:tr>
      <w:tr w:rsidR="00B9482C" w:rsidRPr="007C4B27" w:rsidTr="009D1361">
        <w:trPr>
          <w:trHeight w:val="237"/>
        </w:trPr>
        <w:tc>
          <w:tcPr>
            <w:tcW w:w="10915" w:type="dxa"/>
            <w:gridSpan w:val="4"/>
            <w:shd w:val="clear" w:color="auto" w:fill="auto"/>
          </w:tcPr>
          <w:p w:rsidR="00B9482C" w:rsidRPr="00A45431" w:rsidRDefault="00B9482C" w:rsidP="00A56990">
            <w:pPr>
              <w:spacing w:before="0" w:after="0"/>
              <w:rPr>
                <w:rFonts w:cs="Helvetica"/>
                <w:b/>
                <w:sz w:val="18"/>
                <w:szCs w:val="18"/>
              </w:rPr>
            </w:pPr>
            <w:r w:rsidRPr="00A45431">
              <w:rPr>
                <w:rFonts w:cs="Helvetica"/>
                <w:b/>
                <w:sz w:val="18"/>
                <w:szCs w:val="18"/>
              </w:rPr>
              <w:t xml:space="preserve">References: </w:t>
            </w:r>
          </w:p>
          <w:p w:rsidR="00B9482C" w:rsidRPr="00A45431" w:rsidRDefault="00C33D43" w:rsidP="00C33D43">
            <w:pPr>
              <w:spacing w:before="0" w:after="0"/>
              <w:ind w:left="34"/>
              <w:rPr>
                <w:rFonts w:cs="Helvetica"/>
                <w:sz w:val="18"/>
                <w:szCs w:val="18"/>
              </w:rPr>
            </w:pPr>
            <w:r w:rsidRPr="00A45431">
              <w:rPr>
                <w:rFonts w:cs="Helvetica"/>
                <w:b/>
                <w:sz w:val="18"/>
                <w:szCs w:val="18"/>
              </w:rPr>
              <w:t>*</w:t>
            </w:r>
            <w:r w:rsidR="00B9482C" w:rsidRPr="00A45431">
              <w:rPr>
                <w:rFonts w:cs="Helvetica"/>
                <w:sz w:val="18"/>
                <w:szCs w:val="18"/>
              </w:rPr>
              <w:t>The drug information provided is to act as a guide only, for further information reference should be made to the full manufacturer’s product info and other reliable sources of medicines information. If contraindications or interactions are present refer to medical officer before administration</w:t>
            </w:r>
          </w:p>
        </w:tc>
      </w:tr>
    </w:tbl>
    <w:p w:rsidR="00B9482C" w:rsidRPr="007A2564" w:rsidRDefault="00B9482C" w:rsidP="007A2564">
      <w:pPr>
        <w:tabs>
          <w:tab w:val="left" w:pos="8640"/>
        </w:tabs>
        <w:spacing w:before="0" w:after="0"/>
        <w:jc w:val="right"/>
        <w:rPr>
          <w:spacing w:val="-3"/>
          <w:sz w:val="2"/>
          <w:szCs w:val="2"/>
        </w:rPr>
      </w:pPr>
    </w:p>
    <w:sectPr w:rsidR="00B9482C" w:rsidRPr="007A2564" w:rsidSect="00310E86">
      <w:headerReference w:type="default" r:id="rId16"/>
      <w:footerReference w:type="default" r:id="rId17"/>
      <w:pgSz w:w="11907" w:h="16839" w:code="9"/>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FF" w:rsidRDefault="004D79FF" w:rsidP="00262753">
      <w:pPr>
        <w:spacing w:before="0" w:after="0"/>
      </w:pPr>
      <w:r>
        <w:separator/>
      </w:r>
    </w:p>
  </w:endnote>
  <w:endnote w:type="continuationSeparator" w:id="0">
    <w:p w:rsidR="004D79FF" w:rsidRDefault="004D79FF"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C" w:rsidRPr="00E433EF" w:rsidRDefault="00AA074C"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CE740D">
      <w:rPr>
        <w:noProof/>
      </w:rPr>
      <w:t>5</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FF" w:rsidRDefault="004D79FF" w:rsidP="00262753">
      <w:pPr>
        <w:spacing w:before="0" w:after="0"/>
      </w:pPr>
      <w:r>
        <w:separator/>
      </w:r>
    </w:p>
  </w:footnote>
  <w:footnote w:type="continuationSeparator" w:id="0">
    <w:p w:rsidR="004D79FF" w:rsidRDefault="004D79FF"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C" w:rsidRPr="00246A76" w:rsidRDefault="00AA074C" w:rsidP="00CF17A8">
    <w:pPr>
      <w:pStyle w:val="Header"/>
    </w:pPr>
    <w:r w:rsidRPr="00246A76">
      <w:t xml:space="preserve">Northern Territory Government Gazette No. </w:t>
    </w:r>
    <w:r w:rsidR="0066215E">
      <w:t>S9</w:t>
    </w:r>
    <w:r w:rsidRPr="00246A76">
      <w:t xml:space="preserve">, </w:t>
    </w:r>
    <w:r w:rsidR="0066215E">
      <w:t>16 March</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2">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6"/>
  </w:num>
  <w:num w:numId="2">
    <w:abstractNumId w:val="13"/>
  </w:num>
  <w:num w:numId="3">
    <w:abstractNumId w:val="14"/>
  </w:num>
  <w:num w:numId="4">
    <w:abstractNumId w:val="11"/>
  </w:num>
  <w:num w:numId="5">
    <w:abstractNumId w:val="5"/>
  </w:num>
  <w:num w:numId="6">
    <w:abstractNumId w:val="8"/>
  </w:num>
  <w:num w:numId="7">
    <w:abstractNumId w:val="9"/>
  </w:num>
  <w:num w:numId="8">
    <w:abstractNumId w:val="19"/>
  </w:num>
  <w:num w:numId="9">
    <w:abstractNumId w:val="17"/>
  </w:num>
  <w:num w:numId="10">
    <w:abstractNumId w:val="1"/>
  </w:num>
  <w:num w:numId="11">
    <w:abstractNumId w:val="10"/>
  </w:num>
  <w:num w:numId="12">
    <w:abstractNumId w:val="12"/>
  </w:num>
  <w:num w:numId="13">
    <w:abstractNumId w:val="4"/>
  </w:num>
  <w:num w:numId="14">
    <w:abstractNumId w:val="15"/>
  </w:num>
  <w:num w:numId="15">
    <w:abstractNumId w:val="7"/>
  </w:num>
  <w:num w:numId="16">
    <w:abstractNumId w:val="3"/>
  </w:num>
  <w:num w:numId="17">
    <w:abstractNumId w:val="18"/>
  </w:num>
  <w:num w:numId="18">
    <w:abstractNumId w:val="2"/>
  </w:num>
  <w:num w:numId="19">
    <w:abstractNumId w:val="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08AB"/>
    <w:rsid w:val="00002297"/>
    <w:rsid w:val="00003153"/>
    <w:rsid w:val="00003A04"/>
    <w:rsid w:val="000041CD"/>
    <w:rsid w:val="000044D1"/>
    <w:rsid w:val="00006F10"/>
    <w:rsid w:val="00011403"/>
    <w:rsid w:val="0001270B"/>
    <w:rsid w:val="000137C6"/>
    <w:rsid w:val="00013F59"/>
    <w:rsid w:val="00015EC4"/>
    <w:rsid w:val="0001621D"/>
    <w:rsid w:val="00017BDF"/>
    <w:rsid w:val="000209AF"/>
    <w:rsid w:val="00021303"/>
    <w:rsid w:val="0002152D"/>
    <w:rsid w:val="00022ACE"/>
    <w:rsid w:val="00023B5E"/>
    <w:rsid w:val="000243DB"/>
    <w:rsid w:val="00024F77"/>
    <w:rsid w:val="00025589"/>
    <w:rsid w:val="00026E9F"/>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482B"/>
    <w:rsid w:val="00054A6A"/>
    <w:rsid w:val="000551CF"/>
    <w:rsid w:val="00057F46"/>
    <w:rsid w:val="00063341"/>
    <w:rsid w:val="00063A91"/>
    <w:rsid w:val="0006458F"/>
    <w:rsid w:val="00064BE3"/>
    <w:rsid w:val="00064FC6"/>
    <w:rsid w:val="00065CB0"/>
    <w:rsid w:val="00070FD9"/>
    <w:rsid w:val="00071DC1"/>
    <w:rsid w:val="0007569F"/>
    <w:rsid w:val="0007632A"/>
    <w:rsid w:val="00076A7C"/>
    <w:rsid w:val="000771F2"/>
    <w:rsid w:val="000773E4"/>
    <w:rsid w:val="000803F8"/>
    <w:rsid w:val="000836B6"/>
    <w:rsid w:val="00083F3A"/>
    <w:rsid w:val="000842EE"/>
    <w:rsid w:val="00085FE8"/>
    <w:rsid w:val="00087800"/>
    <w:rsid w:val="00090395"/>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B6"/>
    <w:rsid w:val="000C1E94"/>
    <w:rsid w:val="000C7C49"/>
    <w:rsid w:val="000D1935"/>
    <w:rsid w:val="000D1BB9"/>
    <w:rsid w:val="000D5F62"/>
    <w:rsid w:val="000E2E01"/>
    <w:rsid w:val="000E362A"/>
    <w:rsid w:val="000E3EFD"/>
    <w:rsid w:val="000E5374"/>
    <w:rsid w:val="000E6BFC"/>
    <w:rsid w:val="000E71C3"/>
    <w:rsid w:val="000E7433"/>
    <w:rsid w:val="000F0B75"/>
    <w:rsid w:val="000F13BD"/>
    <w:rsid w:val="000F2551"/>
    <w:rsid w:val="000F2A84"/>
    <w:rsid w:val="000F523C"/>
    <w:rsid w:val="000F6DE7"/>
    <w:rsid w:val="00100AF8"/>
    <w:rsid w:val="00101291"/>
    <w:rsid w:val="00103FC6"/>
    <w:rsid w:val="0010434F"/>
    <w:rsid w:val="00105E93"/>
    <w:rsid w:val="00106C02"/>
    <w:rsid w:val="001077EE"/>
    <w:rsid w:val="001136C2"/>
    <w:rsid w:val="00113FDA"/>
    <w:rsid w:val="00114B84"/>
    <w:rsid w:val="001167A3"/>
    <w:rsid w:val="0012026E"/>
    <w:rsid w:val="00123755"/>
    <w:rsid w:val="00125D75"/>
    <w:rsid w:val="00126FC2"/>
    <w:rsid w:val="00130DFF"/>
    <w:rsid w:val="00130F20"/>
    <w:rsid w:val="00132CA0"/>
    <w:rsid w:val="00135118"/>
    <w:rsid w:val="00135139"/>
    <w:rsid w:val="00135C9E"/>
    <w:rsid w:val="001361FD"/>
    <w:rsid w:val="001362CE"/>
    <w:rsid w:val="00136C9B"/>
    <w:rsid w:val="001400FE"/>
    <w:rsid w:val="00140835"/>
    <w:rsid w:val="00143E2E"/>
    <w:rsid w:val="00146D1A"/>
    <w:rsid w:val="00147C24"/>
    <w:rsid w:val="00150AAC"/>
    <w:rsid w:val="001519A1"/>
    <w:rsid w:val="001536F9"/>
    <w:rsid w:val="001553F8"/>
    <w:rsid w:val="001558C7"/>
    <w:rsid w:val="001576EC"/>
    <w:rsid w:val="00157B4C"/>
    <w:rsid w:val="00160916"/>
    <w:rsid w:val="00161760"/>
    <w:rsid w:val="00163FCE"/>
    <w:rsid w:val="001640E9"/>
    <w:rsid w:val="00164F43"/>
    <w:rsid w:val="00165E3C"/>
    <w:rsid w:val="00170D55"/>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236D"/>
    <w:rsid w:val="001D441D"/>
    <w:rsid w:val="001D5995"/>
    <w:rsid w:val="001E028C"/>
    <w:rsid w:val="001E071E"/>
    <w:rsid w:val="001E076D"/>
    <w:rsid w:val="001E0D47"/>
    <w:rsid w:val="001E2EEC"/>
    <w:rsid w:val="001E4990"/>
    <w:rsid w:val="001E6E7C"/>
    <w:rsid w:val="001E79BD"/>
    <w:rsid w:val="001F0B0A"/>
    <w:rsid w:val="001F4EBA"/>
    <w:rsid w:val="001F691D"/>
    <w:rsid w:val="001F7632"/>
    <w:rsid w:val="00200AB1"/>
    <w:rsid w:val="00201844"/>
    <w:rsid w:val="002021AF"/>
    <w:rsid w:val="00203EF3"/>
    <w:rsid w:val="0020465D"/>
    <w:rsid w:val="00207AAC"/>
    <w:rsid w:val="002102DC"/>
    <w:rsid w:val="0021057D"/>
    <w:rsid w:val="0021142B"/>
    <w:rsid w:val="002129ED"/>
    <w:rsid w:val="00214072"/>
    <w:rsid w:val="00214599"/>
    <w:rsid w:val="00216347"/>
    <w:rsid w:val="00216939"/>
    <w:rsid w:val="0021784A"/>
    <w:rsid w:val="002210B4"/>
    <w:rsid w:val="002210C9"/>
    <w:rsid w:val="00221151"/>
    <w:rsid w:val="00222080"/>
    <w:rsid w:val="0022612D"/>
    <w:rsid w:val="00227CC3"/>
    <w:rsid w:val="002305E1"/>
    <w:rsid w:val="00230E38"/>
    <w:rsid w:val="002312A3"/>
    <w:rsid w:val="00232C4B"/>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CCD"/>
    <w:rsid w:val="00255853"/>
    <w:rsid w:val="00257B5B"/>
    <w:rsid w:val="00262753"/>
    <w:rsid w:val="002636CF"/>
    <w:rsid w:val="00264422"/>
    <w:rsid w:val="002648E0"/>
    <w:rsid w:val="00265E64"/>
    <w:rsid w:val="002715D8"/>
    <w:rsid w:val="00272C3D"/>
    <w:rsid w:val="00273334"/>
    <w:rsid w:val="00275E14"/>
    <w:rsid w:val="0027677A"/>
    <w:rsid w:val="00281C3B"/>
    <w:rsid w:val="00282700"/>
    <w:rsid w:val="002830FA"/>
    <w:rsid w:val="00283C5B"/>
    <w:rsid w:val="00284332"/>
    <w:rsid w:val="00284A1A"/>
    <w:rsid w:val="0028504D"/>
    <w:rsid w:val="002855DD"/>
    <w:rsid w:val="00285A62"/>
    <w:rsid w:val="00286926"/>
    <w:rsid w:val="00291BA5"/>
    <w:rsid w:val="0029394C"/>
    <w:rsid w:val="0029428B"/>
    <w:rsid w:val="00295F24"/>
    <w:rsid w:val="00296C5D"/>
    <w:rsid w:val="00297661"/>
    <w:rsid w:val="00297C05"/>
    <w:rsid w:val="002A3CE6"/>
    <w:rsid w:val="002A441F"/>
    <w:rsid w:val="002A510A"/>
    <w:rsid w:val="002A67DA"/>
    <w:rsid w:val="002B06BD"/>
    <w:rsid w:val="002B2055"/>
    <w:rsid w:val="002B405A"/>
    <w:rsid w:val="002B6931"/>
    <w:rsid w:val="002C11E6"/>
    <w:rsid w:val="002C2402"/>
    <w:rsid w:val="002C2831"/>
    <w:rsid w:val="002C2BA9"/>
    <w:rsid w:val="002C486F"/>
    <w:rsid w:val="002C49DD"/>
    <w:rsid w:val="002C4F83"/>
    <w:rsid w:val="002C5606"/>
    <w:rsid w:val="002C7A54"/>
    <w:rsid w:val="002D2F80"/>
    <w:rsid w:val="002D4698"/>
    <w:rsid w:val="002D597D"/>
    <w:rsid w:val="002D7485"/>
    <w:rsid w:val="002E158D"/>
    <w:rsid w:val="002E256D"/>
    <w:rsid w:val="002E5004"/>
    <w:rsid w:val="002E5ADE"/>
    <w:rsid w:val="002E67DC"/>
    <w:rsid w:val="002F2F82"/>
    <w:rsid w:val="002F7645"/>
    <w:rsid w:val="002F7E37"/>
    <w:rsid w:val="0030026D"/>
    <w:rsid w:val="00300805"/>
    <w:rsid w:val="003008ED"/>
    <w:rsid w:val="0030119D"/>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4D5"/>
    <w:rsid w:val="00363A92"/>
    <w:rsid w:val="00363D77"/>
    <w:rsid w:val="003649FB"/>
    <w:rsid w:val="003661B3"/>
    <w:rsid w:val="00370120"/>
    <w:rsid w:val="003724ED"/>
    <w:rsid w:val="00372F49"/>
    <w:rsid w:val="00374E36"/>
    <w:rsid w:val="0037616F"/>
    <w:rsid w:val="003811BE"/>
    <w:rsid w:val="00381C89"/>
    <w:rsid w:val="00382008"/>
    <w:rsid w:val="00382212"/>
    <w:rsid w:val="00382411"/>
    <w:rsid w:val="0038325C"/>
    <w:rsid w:val="00383ECF"/>
    <w:rsid w:val="00384110"/>
    <w:rsid w:val="00384C96"/>
    <w:rsid w:val="003851A1"/>
    <w:rsid w:val="0038765C"/>
    <w:rsid w:val="00392814"/>
    <w:rsid w:val="00393241"/>
    <w:rsid w:val="00393E24"/>
    <w:rsid w:val="00393F63"/>
    <w:rsid w:val="00395152"/>
    <w:rsid w:val="00397645"/>
    <w:rsid w:val="003A217B"/>
    <w:rsid w:val="003A2CF6"/>
    <w:rsid w:val="003A2F10"/>
    <w:rsid w:val="003A35BC"/>
    <w:rsid w:val="003A6BF2"/>
    <w:rsid w:val="003A6EB5"/>
    <w:rsid w:val="003A70B8"/>
    <w:rsid w:val="003B15F5"/>
    <w:rsid w:val="003B15FC"/>
    <w:rsid w:val="003B2D67"/>
    <w:rsid w:val="003B59B7"/>
    <w:rsid w:val="003B7115"/>
    <w:rsid w:val="003C04AD"/>
    <w:rsid w:val="003C2161"/>
    <w:rsid w:val="003C28B9"/>
    <w:rsid w:val="003C2D16"/>
    <w:rsid w:val="003C3AE8"/>
    <w:rsid w:val="003C4B0B"/>
    <w:rsid w:val="003C4EC6"/>
    <w:rsid w:val="003C5705"/>
    <w:rsid w:val="003C5C68"/>
    <w:rsid w:val="003C6397"/>
    <w:rsid w:val="003C65EC"/>
    <w:rsid w:val="003C6DD8"/>
    <w:rsid w:val="003D0430"/>
    <w:rsid w:val="003D05D5"/>
    <w:rsid w:val="003D0D5C"/>
    <w:rsid w:val="003D110D"/>
    <w:rsid w:val="003D2062"/>
    <w:rsid w:val="003D418E"/>
    <w:rsid w:val="003D7578"/>
    <w:rsid w:val="003D787E"/>
    <w:rsid w:val="003D7FCE"/>
    <w:rsid w:val="003E0C3C"/>
    <w:rsid w:val="003E1701"/>
    <w:rsid w:val="003E277C"/>
    <w:rsid w:val="003E4AEA"/>
    <w:rsid w:val="003E5299"/>
    <w:rsid w:val="003E5F53"/>
    <w:rsid w:val="003E63A7"/>
    <w:rsid w:val="003E7CB6"/>
    <w:rsid w:val="003F2C7D"/>
    <w:rsid w:val="003F3EE8"/>
    <w:rsid w:val="003F403B"/>
    <w:rsid w:val="003F4FDF"/>
    <w:rsid w:val="003F6841"/>
    <w:rsid w:val="003F78D5"/>
    <w:rsid w:val="003F7B2D"/>
    <w:rsid w:val="003F7DE2"/>
    <w:rsid w:val="00401940"/>
    <w:rsid w:val="00403EB0"/>
    <w:rsid w:val="00404A5D"/>
    <w:rsid w:val="00404C98"/>
    <w:rsid w:val="00407EA4"/>
    <w:rsid w:val="004111A2"/>
    <w:rsid w:val="004116D2"/>
    <w:rsid w:val="00411B23"/>
    <w:rsid w:val="00413E82"/>
    <w:rsid w:val="0041548D"/>
    <w:rsid w:val="0041591E"/>
    <w:rsid w:val="00417B9A"/>
    <w:rsid w:val="00420959"/>
    <w:rsid w:val="00420AEC"/>
    <w:rsid w:val="004210FE"/>
    <w:rsid w:val="00421101"/>
    <w:rsid w:val="00422E48"/>
    <w:rsid w:val="004235A5"/>
    <w:rsid w:val="0042360C"/>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3C56"/>
    <w:rsid w:val="004448F4"/>
    <w:rsid w:val="004459E1"/>
    <w:rsid w:val="00445AAB"/>
    <w:rsid w:val="00446DEE"/>
    <w:rsid w:val="0045196E"/>
    <w:rsid w:val="00451A2D"/>
    <w:rsid w:val="00451D8B"/>
    <w:rsid w:val="004534AB"/>
    <w:rsid w:val="00454E20"/>
    <w:rsid w:val="00455A33"/>
    <w:rsid w:val="00455D3B"/>
    <w:rsid w:val="004561D5"/>
    <w:rsid w:val="00457DB6"/>
    <w:rsid w:val="00460668"/>
    <w:rsid w:val="00460CA0"/>
    <w:rsid w:val="00461C70"/>
    <w:rsid w:val="00462107"/>
    <w:rsid w:val="004643D9"/>
    <w:rsid w:val="004702EC"/>
    <w:rsid w:val="0047153B"/>
    <w:rsid w:val="00471DBB"/>
    <w:rsid w:val="00474CC6"/>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764A"/>
    <w:rsid w:val="00491066"/>
    <w:rsid w:val="00493F4D"/>
    <w:rsid w:val="00494B38"/>
    <w:rsid w:val="004952A9"/>
    <w:rsid w:val="00496FBB"/>
    <w:rsid w:val="004973B2"/>
    <w:rsid w:val="004A21A8"/>
    <w:rsid w:val="004A7A95"/>
    <w:rsid w:val="004B000C"/>
    <w:rsid w:val="004B001E"/>
    <w:rsid w:val="004B0C47"/>
    <w:rsid w:val="004B0F67"/>
    <w:rsid w:val="004B2380"/>
    <w:rsid w:val="004B2A8B"/>
    <w:rsid w:val="004B46D6"/>
    <w:rsid w:val="004B4BF0"/>
    <w:rsid w:val="004B63D3"/>
    <w:rsid w:val="004C1124"/>
    <w:rsid w:val="004C25B7"/>
    <w:rsid w:val="004C2665"/>
    <w:rsid w:val="004C2E0C"/>
    <w:rsid w:val="004C37A3"/>
    <w:rsid w:val="004C43D6"/>
    <w:rsid w:val="004C449B"/>
    <w:rsid w:val="004C459B"/>
    <w:rsid w:val="004C5031"/>
    <w:rsid w:val="004C520C"/>
    <w:rsid w:val="004D223F"/>
    <w:rsid w:val="004D51E4"/>
    <w:rsid w:val="004D5DE0"/>
    <w:rsid w:val="004D5F96"/>
    <w:rsid w:val="004D6CC7"/>
    <w:rsid w:val="004D79FF"/>
    <w:rsid w:val="004E1709"/>
    <w:rsid w:val="004E1878"/>
    <w:rsid w:val="004E2AEA"/>
    <w:rsid w:val="004E3EE3"/>
    <w:rsid w:val="004E4342"/>
    <w:rsid w:val="004E4680"/>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7DC6"/>
    <w:rsid w:val="00512AD8"/>
    <w:rsid w:val="00513651"/>
    <w:rsid w:val="0051404F"/>
    <w:rsid w:val="00514951"/>
    <w:rsid w:val="00514B3E"/>
    <w:rsid w:val="0051534B"/>
    <w:rsid w:val="00515A51"/>
    <w:rsid w:val="00517457"/>
    <w:rsid w:val="00520B9B"/>
    <w:rsid w:val="005215A6"/>
    <w:rsid w:val="00525103"/>
    <w:rsid w:val="005254B5"/>
    <w:rsid w:val="00525F5B"/>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E4"/>
    <w:rsid w:val="00551824"/>
    <w:rsid w:val="00552B80"/>
    <w:rsid w:val="005543A5"/>
    <w:rsid w:val="00555D8C"/>
    <w:rsid w:val="00555FF6"/>
    <w:rsid w:val="005601D9"/>
    <w:rsid w:val="00561294"/>
    <w:rsid w:val="00566C2D"/>
    <w:rsid w:val="0056747D"/>
    <w:rsid w:val="005676EA"/>
    <w:rsid w:val="00570257"/>
    <w:rsid w:val="00570A78"/>
    <w:rsid w:val="00570FBA"/>
    <w:rsid w:val="00570FD7"/>
    <w:rsid w:val="00572679"/>
    <w:rsid w:val="0057338D"/>
    <w:rsid w:val="005733D2"/>
    <w:rsid w:val="00575345"/>
    <w:rsid w:val="0057728C"/>
    <w:rsid w:val="005805CD"/>
    <w:rsid w:val="00581059"/>
    <w:rsid w:val="00584D9E"/>
    <w:rsid w:val="005851BB"/>
    <w:rsid w:val="0059042D"/>
    <w:rsid w:val="0059142B"/>
    <w:rsid w:val="00591528"/>
    <w:rsid w:val="005933C6"/>
    <w:rsid w:val="00593700"/>
    <w:rsid w:val="00595A9D"/>
    <w:rsid w:val="005974B5"/>
    <w:rsid w:val="005A0EAD"/>
    <w:rsid w:val="005A1C2E"/>
    <w:rsid w:val="005A3102"/>
    <w:rsid w:val="005A4426"/>
    <w:rsid w:val="005A6302"/>
    <w:rsid w:val="005B09B8"/>
    <w:rsid w:val="005B0F8C"/>
    <w:rsid w:val="005B18FE"/>
    <w:rsid w:val="005B29FB"/>
    <w:rsid w:val="005B4C84"/>
    <w:rsid w:val="005B6454"/>
    <w:rsid w:val="005C1048"/>
    <w:rsid w:val="005C2BD4"/>
    <w:rsid w:val="005C65FE"/>
    <w:rsid w:val="005C7869"/>
    <w:rsid w:val="005C7A86"/>
    <w:rsid w:val="005D057A"/>
    <w:rsid w:val="005D0864"/>
    <w:rsid w:val="005D1754"/>
    <w:rsid w:val="005D490D"/>
    <w:rsid w:val="005D53A1"/>
    <w:rsid w:val="005D72D1"/>
    <w:rsid w:val="005D7607"/>
    <w:rsid w:val="005E1088"/>
    <w:rsid w:val="005E1791"/>
    <w:rsid w:val="005E2193"/>
    <w:rsid w:val="005E3A03"/>
    <w:rsid w:val="005E4B1F"/>
    <w:rsid w:val="005E6A50"/>
    <w:rsid w:val="005E73D0"/>
    <w:rsid w:val="005E78A0"/>
    <w:rsid w:val="005F06AE"/>
    <w:rsid w:val="005F0A4D"/>
    <w:rsid w:val="005F0AAF"/>
    <w:rsid w:val="005F1CFF"/>
    <w:rsid w:val="005F2099"/>
    <w:rsid w:val="005F2564"/>
    <w:rsid w:val="005F3F7D"/>
    <w:rsid w:val="005F41C4"/>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FFF"/>
    <w:rsid w:val="00625602"/>
    <w:rsid w:val="0062642E"/>
    <w:rsid w:val="00630213"/>
    <w:rsid w:val="00630590"/>
    <w:rsid w:val="00630D18"/>
    <w:rsid w:val="00630F88"/>
    <w:rsid w:val="00631080"/>
    <w:rsid w:val="00631191"/>
    <w:rsid w:val="00634CBF"/>
    <w:rsid w:val="006362D9"/>
    <w:rsid w:val="006363D3"/>
    <w:rsid w:val="00636CF4"/>
    <w:rsid w:val="0063710B"/>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60434"/>
    <w:rsid w:val="00661ADD"/>
    <w:rsid w:val="0066215E"/>
    <w:rsid w:val="00662D73"/>
    <w:rsid w:val="006659D3"/>
    <w:rsid w:val="00665CC1"/>
    <w:rsid w:val="00672DF7"/>
    <w:rsid w:val="00677C27"/>
    <w:rsid w:val="00681E31"/>
    <w:rsid w:val="00685BD3"/>
    <w:rsid w:val="00687690"/>
    <w:rsid w:val="006878B3"/>
    <w:rsid w:val="006878E3"/>
    <w:rsid w:val="00687FCB"/>
    <w:rsid w:val="00690988"/>
    <w:rsid w:val="00692B46"/>
    <w:rsid w:val="00695C65"/>
    <w:rsid w:val="00695E43"/>
    <w:rsid w:val="006A0C26"/>
    <w:rsid w:val="006A1BD1"/>
    <w:rsid w:val="006A2134"/>
    <w:rsid w:val="006A52D1"/>
    <w:rsid w:val="006A55C8"/>
    <w:rsid w:val="006B0215"/>
    <w:rsid w:val="006B1315"/>
    <w:rsid w:val="006B177B"/>
    <w:rsid w:val="006B181F"/>
    <w:rsid w:val="006B1946"/>
    <w:rsid w:val="006B4FBE"/>
    <w:rsid w:val="006B5400"/>
    <w:rsid w:val="006B6321"/>
    <w:rsid w:val="006C14C8"/>
    <w:rsid w:val="006C25EA"/>
    <w:rsid w:val="006C2718"/>
    <w:rsid w:val="006C2B3D"/>
    <w:rsid w:val="006C517B"/>
    <w:rsid w:val="006C6CAA"/>
    <w:rsid w:val="006D2DC3"/>
    <w:rsid w:val="006D320E"/>
    <w:rsid w:val="006D3475"/>
    <w:rsid w:val="006D5358"/>
    <w:rsid w:val="006D7D5C"/>
    <w:rsid w:val="006D7F2C"/>
    <w:rsid w:val="006E0CEB"/>
    <w:rsid w:val="006E162E"/>
    <w:rsid w:val="006E33A1"/>
    <w:rsid w:val="006E38C3"/>
    <w:rsid w:val="006F19A9"/>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70B7"/>
    <w:rsid w:val="0073176A"/>
    <w:rsid w:val="007326FD"/>
    <w:rsid w:val="00733307"/>
    <w:rsid w:val="00734A09"/>
    <w:rsid w:val="00737EEA"/>
    <w:rsid w:val="007402E2"/>
    <w:rsid w:val="00740314"/>
    <w:rsid w:val="00741596"/>
    <w:rsid w:val="00741E23"/>
    <w:rsid w:val="0074282F"/>
    <w:rsid w:val="00746E63"/>
    <w:rsid w:val="0075259F"/>
    <w:rsid w:val="00753207"/>
    <w:rsid w:val="007532AE"/>
    <w:rsid w:val="00755678"/>
    <w:rsid w:val="00755A4E"/>
    <w:rsid w:val="00755B11"/>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4E6F"/>
    <w:rsid w:val="00785590"/>
    <w:rsid w:val="007868D2"/>
    <w:rsid w:val="00787E6F"/>
    <w:rsid w:val="00792F70"/>
    <w:rsid w:val="00796128"/>
    <w:rsid w:val="007A0475"/>
    <w:rsid w:val="007A18B8"/>
    <w:rsid w:val="007A1A08"/>
    <w:rsid w:val="007A2564"/>
    <w:rsid w:val="007A45F2"/>
    <w:rsid w:val="007A706F"/>
    <w:rsid w:val="007A7CDD"/>
    <w:rsid w:val="007B3D5F"/>
    <w:rsid w:val="007B4088"/>
    <w:rsid w:val="007B4899"/>
    <w:rsid w:val="007B531E"/>
    <w:rsid w:val="007B55B7"/>
    <w:rsid w:val="007B58A6"/>
    <w:rsid w:val="007B5AE1"/>
    <w:rsid w:val="007C0482"/>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31A"/>
    <w:rsid w:val="00804F55"/>
    <w:rsid w:val="00804F76"/>
    <w:rsid w:val="00806C0C"/>
    <w:rsid w:val="00806F49"/>
    <w:rsid w:val="0080700A"/>
    <w:rsid w:val="00807ABB"/>
    <w:rsid w:val="008101B6"/>
    <w:rsid w:val="0081069D"/>
    <w:rsid w:val="00811C83"/>
    <w:rsid w:val="00812E74"/>
    <w:rsid w:val="008167E4"/>
    <w:rsid w:val="0082007C"/>
    <w:rsid w:val="0082261D"/>
    <w:rsid w:val="00822698"/>
    <w:rsid w:val="0082359C"/>
    <w:rsid w:val="00823852"/>
    <w:rsid w:val="00823A62"/>
    <w:rsid w:val="00825290"/>
    <w:rsid w:val="00825F7F"/>
    <w:rsid w:val="00831AF3"/>
    <w:rsid w:val="008357E8"/>
    <w:rsid w:val="0083586C"/>
    <w:rsid w:val="008379C6"/>
    <w:rsid w:val="008401EE"/>
    <w:rsid w:val="0084100D"/>
    <w:rsid w:val="0084458A"/>
    <w:rsid w:val="00845931"/>
    <w:rsid w:val="00847591"/>
    <w:rsid w:val="00850480"/>
    <w:rsid w:val="00852462"/>
    <w:rsid w:val="008537DF"/>
    <w:rsid w:val="00853D97"/>
    <w:rsid w:val="00853EF9"/>
    <w:rsid w:val="008565BE"/>
    <w:rsid w:val="0085753A"/>
    <w:rsid w:val="0085757B"/>
    <w:rsid w:val="0086076C"/>
    <w:rsid w:val="00860BC2"/>
    <w:rsid w:val="00862A2D"/>
    <w:rsid w:val="00862B3D"/>
    <w:rsid w:val="0086750F"/>
    <w:rsid w:val="00867909"/>
    <w:rsid w:val="0087054C"/>
    <w:rsid w:val="00871621"/>
    <w:rsid w:val="0087178E"/>
    <w:rsid w:val="0087188C"/>
    <w:rsid w:val="0087200B"/>
    <w:rsid w:val="008731D3"/>
    <w:rsid w:val="00874553"/>
    <w:rsid w:val="008772FB"/>
    <w:rsid w:val="00877D0D"/>
    <w:rsid w:val="00877E63"/>
    <w:rsid w:val="0088358D"/>
    <w:rsid w:val="0088375C"/>
    <w:rsid w:val="00884198"/>
    <w:rsid w:val="008845D8"/>
    <w:rsid w:val="008852C6"/>
    <w:rsid w:val="00886892"/>
    <w:rsid w:val="00892391"/>
    <w:rsid w:val="008965EB"/>
    <w:rsid w:val="00896D07"/>
    <w:rsid w:val="00897165"/>
    <w:rsid w:val="00897461"/>
    <w:rsid w:val="00897D84"/>
    <w:rsid w:val="008A022B"/>
    <w:rsid w:val="008A05F2"/>
    <w:rsid w:val="008A0C3C"/>
    <w:rsid w:val="008A0C4C"/>
    <w:rsid w:val="008A203F"/>
    <w:rsid w:val="008A236A"/>
    <w:rsid w:val="008A33EA"/>
    <w:rsid w:val="008A3A28"/>
    <w:rsid w:val="008A3B4D"/>
    <w:rsid w:val="008A6280"/>
    <w:rsid w:val="008A7F6C"/>
    <w:rsid w:val="008B1083"/>
    <w:rsid w:val="008B1A5F"/>
    <w:rsid w:val="008B2669"/>
    <w:rsid w:val="008B28E6"/>
    <w:rsid w:val="008B3688"/>
    <w:rsid w:val="008B4206"/>
    <w:rsid w:val="008B700B"/>
    <w:rsid w:val="008B71A8"/>
    <w:rsid w:val="008B7AB7"/>
    <w:rsid w:val="008B7EF2"/>
    <w:rsid w:val="008C1C92"/>
    <w:rsid w:val="008C23BC"/>
    <w:rsid w:val="008C7EDE"/>
    <w:rsid w:val="008D2E0C"/>
    <w:rsid w:val="008D322A"/>
    <w:rsid w:val="008D398D"/>
    <w:rsid w:val="008D4A1D"/>
    <w:rsid w:val="008D6FB6"/>
    <w:rsid w:val="008D7F60"/>
    <w:rsid w:val="008D7FF6"/>
    <w:rsid w:val="008E1E1B"/>
    <w:rsid w:val="008E20F0"/>
    <w:rsid w:val="008E21F6"/>
    <w:rsid w:val="008E2DCF"/>
    <w:rsid w:val="008E58A6"/>
    <w:rsid w:val="008E6145"/>
    <w:rsid w:val="008E7C49"/>
    <w:rsid w:val="008F03A0"/>
    <w:rsid w:val="008F0D48"/>
    <w:rsid w:val="008F0F68"/>
    <w:rsid w:val="008F1F76"/>
    <w:rsid w:val="008F21FB"/>
    <w:rsid w:val="008F44CC"/>
    <w:rsid w:val="008F7ADF"/>
    <w:rsid w:val="009012BC"/>
    <w:rsid w:val="009014B0"/>
    <w:rsid w:val="00901789"/>
    <w:rsid w:val="00901C30"/>
    <w:rsid w:val="00904253"/>
    <w:rsid w:val="0090482B"/>
    <w:rsid w:val="0090623C"/>
    <w:rsid w:val="00906E72"/>
    <w:rsid w:val="00907B9B"/>
    <w:rsid w:val="00910AAD"/>
    <w:rsid w:val="00910E88"/>
    <w:rsid w:val="0091113D"/>
    <w:rsid w:val="00913286"/>
    <w:rsid w:val="00915DCB"/>
    <w:rsid w:val="00917455"/>
    <w:rsid w:val="00920D8C"/>
    <w:rsid w:val="009215E2"/>
    <w:rsid w:val="0092282C"/>
    <w:rsid w:val="0092425B"/>
    <w:rsid w:val="00926516"/>
    <w:rsid w:val="009268FE"/>
    <w:rsid w:val="0092691B"/>
    <w:rsid w:val="0093449B"/>
    <w:rsid w:val="00934920"/>
    <w:rsid w:val="009353C7"/>
    <w:rsid w:val="00936A0C"/>
    <w:rsid w:val="00940A3F"/>
    <w:rsid w:val="00943ABB"/>
    <w:rsid w:val="009458B2"/>
    <w:rsid w:val="00946CCA"/>
    <w:rsid w:val="00950204"/>
    <w:rsid w:val="00951141"/>
    <w:rsid w:val="00951309"/>
    <w:rsid w:val="00952273"/>
    <w:rsid w:val="00953564"/>
    <w:rsid w:val="00955022"/>
    <w:rsid w:val="009560CB"/>
    <w:rsid w:val="00956A2C"/>
    <w:rsid w:val="00957EF7"/>
    <w:rsid w:val="00960AF8"/>
    <w:rsid w:val="00960F2C"/>
    <w:rsid w:val="00961026"/>
    <w:rsid w:val="00961FED"/>
    <w:rsid w:val="009627F5"/>
    <w:rsid w:val="00962812"/>
    <w:rsid w:val="00962B18"/>
    <w:rsid w:val="0096440C"/>
    <w:rsid w:val="00965DEC"/>
    <w:rsid w:val="00967022"/>
    <w:rsid w:val="009720E3"/>
    <w:rsid w:val="0097272C"/>
    <w:rsid w:val="009727F7"/>
    <w:rsid w:val="00972C59"/>
    <w:rsid w:val="009735E1"/>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404"/>
    <w:rsid w:val="009B18E8"/>
    <w:rsid w:val="009B19BA"/>
    <w:rsid w:val="009B1AE8"/>
    <w:rsid w:val="009B2FAB"/>
    <w:rsid w:val="009B46A1"/>
    <w:rsid w:val="009B6212"/>
    <w:rsid w:val="009C36F3"/>
    <w:rsid w:val="009C5F21"/>
    <w:rsid w:val="009D0C32"/>
    <w:rsid w:val="009D1361"/>
    <w:rsid w:val="009D1453"/>
    <w:rsid w:val="009D2394"/>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0354"/>
    <w:rsid w:val="00A02B4D"/>
    <w:rsid w:val="00A02BD3"/>
    <w:rsid w:val="00A04149"/>
    <w:rsid w:val="00A042A9"/>
    <w:rsid w:val="00A044DB"/>
    <w:rsid w:val="00A0652F"/>
    <w:rsid w:val="00A0659D"/>
    <w:rsid w:val="00A06822"/>
    <w:rsid w:val="00A116B5"/>
    <w:rsid w:val="00A116F2"/>
    <w:rsid w:val="00A124AE"/>
    <w:rsid w:val="00A1354F"/>
    <w:rsid w:val="00A13C26"/>
    <w:rsid w:val="00A15847"/>
    <w:rsid w:val="00A160B3"/>
    <w:rsid w:val="00A177B8"/>
    <w:rsid w:val="00A17D38"/>
    <w:rsid w:val="00A20CF4"/>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366"/>
    <w:rsid w:val="00A45431"/>
    <w:rsid w:val="00A45ACD"/>
    <w:rsid w:val="00A460DD"/>
    <w:rsid w:val="00A51F16"/>
    <w:rsid w:val="00A53737"/>
    <w:rsid w:val="00A53975"/>
    <w:rsid w:val="00A53B0C"/>
    <w:rsid w:val="00A5509A"/>
    <w:rsid w:val="00A56990"/>
    <w:rsid w:val="00A56BA6"/>
    <w:rsid w:val="00A5722C"/>
    <w:rsid w:val="00A61209"/>
    <w:rsid w:val="00A639F5"/>
    <w:rsid w:val="00A63E5D"/>
    <w:rsid w:val="00A64FFA"/>
    <w:rsid w:val="00A651A9"/>
    <w:rsid w:val="00A67040"/>
    <w:rsid w:val="00A6757D"/>
    <w:rsid w:val="00A67AD3"/>
    <w:rsid w:val="00A67FE5"/>
    <w:rsid w:val="00A7291F"/>
    <w:rsid w:val="00A72AEB"/>
    <w:rsid w:val="00A73680"/>
    <w:rsid w:val="00A75AA7"/>
    <w:rsid w:val="00A769EB"/>
    <w:rsid w:val="00A778B9"/>
    <w:rsid w:val="00A82EBC"/>
    <w:rsid w:val="00A83258"/>
    <w:rsid w:val="00A84ABF"/>
    <w:rsid w:val="00A857BA"/>
    <w:rsid w:val="00A873BF"/>
    <w:rsid w:val="00A87B48"/>
    <w:rsid w:val="00A87C3B"/>
    <w:rsid w:val="00A906B4"/>
    <w:rsid w:val="00A90B01"/>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2589"/>
    <w:rsid w:val="00AB274C"/>
    <w:rsid w:val="00AB3FE2"/>
    <w:rsid w:val="00AB573C"/>
    <w:rsid w:val="00AB79CD"/>
    <w:rsid w:val="00AC11FA"/>
    <w:rsid w:val="00AC12AA"/>
    <w:rsid w:val="00AC19EB"/>
    <w:rsid w:val="00AC470E"/>
    <w:rsid w:val="00AC4762"/>
    <w:rsid w:val="00AC4947"/>
    <w:rsid w:val="00AC5033"/>
    <w:rsid w:val="00AC6489"/>
    <w:rsid w:val="00AC687C"/>
    <w:rsid w:val="00AC6A42"/>
    <w:rsid w:val="00AC791D"/>
    <w:rsid w:val="00AD179B"/>
    <w:rsid w:val="00AD224E"/>
    <w:rsid w:val="00AD23CC"/>
    <w:rsid w:val="00AD26E6"/>
    <w:rsid w:val="00AD353D"/>
    <w:rsid w:val="00AD35C6"/>
    <w:rsid w:val="00AD3885"/>
    <w:rsid w:val="00AD4487"/>
    <w:rsid w:val="00AD50C2"/>
    <w:rsid w:val="00AD5780"/>
    <w:rsid w:val="00AD5FDC"/>
    <w:rsid w:val="00AD727B"/>
    <w:rsid w:val="00AE0219"/>
    <w:rsid w:val="00AE0757"/>
    <w:rsid w:val="00AE1C16"/>
    <w:rsid w:val="00AE312D"/>
    <w:rsid w:val="00AE32A8"/>
    <w:rsid w:val="00AE444A"/>
    <w:rsid w:val="00AE7988"/>
    <w:rsid w:val="00AF108A"/>
    <w:rsid w:val="00AF17B7"/>
    <w:rsid w:val="00AF440F"/>
    <w:rsid w:val="00AF4D83"/>
    <w:rsid w:val="00AF76B2"/>
    <w:rsid w:val="00AF790C"/>
    <w:rsid w:val="00AF7A46"/>
    <w:rsid w:val="00B008CE"/>
    <w:rsid w:val="00B01B53"/>
    <w:rsid w:val="00B027C1"/>
    <w:rsid w:val="00B0371E"/>
    <w:rsid w:val="00B05274"/>
    <w:rsid w:val="00B053A9"/>
    <w:rsid w:val="00B134CD"/>
    <w:rsid w:val="00B139FB"/>
    <w:rsid w:val="00B15A5D"/>
    <w:rsid w:val="00B16156"/>
    <w:rsid w:val="00B163F6"/>
    <w:rsid w:val="00B166DF"/>
    <w:rsid w:val="00B207F4"/>
    <w:rsid w:val="00B2122A"/>
    <w:rsid w:val="00B215AE"/>
    <w:rsid w:val="00B21C5F"/>
    <w:rsid w:val="00B23BEB"/>
    <w:rsid w:val="00B23D9A"/>
    <w:rsid w:val="00B255DF"/>
    <w:rsid w:val="00B26867"/>
    <w:rsid w:val="00B27B3E"/>
    <w:rsid w:val="00B27F67"/>
    <w:rsid w:val="00B32515"/>
    <w:rsid w:val="00B32DDF"/>
    <w:rsid w:val="00B33655"/>
    <w:rsid w:val="00B37AD3"/>
    <w:rsid w:val="00B37FA2"/>
    <w:rsid w:val="00B4065D"/>
    <w:rsid w:val="00B411D0"/>
    <w:rsid w:val="00B41FA3"/>
    <w:rsid w:val="00B425E3"/>
    <w:rsid w:val="00B4282C"/>
    <w:rsid w:val="00B44908"/>
    <w:rsid w:val="00B46A39"/>
    <w:rsid w:val="00B46D6D"/>
    <w:rsid w:val="00B47B17"/>
    <w:rsid w:val="00B47FC4"/>
    <w:rsid w:val="00B5311D"/>
    <w:rsid w:val="00B53200"/>
    <w:rsid w:val="00B5361A"/>
    <w:rsid w:val="00B54CE9"/>
    <w:rsid w:val="00B55767"/>
    <w:rsid w:val="00B62E8D"/>
    <w:rsid w:val="00B63006"/>
    <w:rsid w:val="00B637A1"/>
    <w:rsid w:val="00B63CA3"/>
    <w:rsid w:val="00B63EF2"/>
    <w:rsid w:val="00B65A3C"/>
    <w:rsid w:val="00B7196C"/>
    <w:rsid w:val="00B7480E"/>
    <w:rsid w:val="00B76635"/>
    <w:rsid w:val="00B768ED"/>
    <w:rsid w:val="00B77674"/>
    <w:rsid w:val="00B80314"/>
    <w:rsid w:val="00B849CA"/>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D057C"/>
    <w:rsid w:val="00BD379C"/>
    <w:rsid w:val="00BD4C7A"/>
    <w:rsid w:val="00BD783C"/>
    <w:rsid w:val="00BE18A9"/>
    <w:rsid w:val="00BE19A6"/>
    <w:rsid w:val="00BE2FAD"/>
    <w:rsid w:val="00BE3021"/>
    <w:rsid w:val="00BE3F9F"/>
    <w:rsid w:val="00BE5264"/>
    <w:rsid w:val="00BE6EFC"/>
    <w:rsid w:val="00BF09EB"/>
    <w:rsid w:val="00BF0BCD"/>
    <w:rsid w:val="00BF1AD6"/>
    <w:rsid w:val="00BF266F"/>
    <w:rsid w:val="00BF2D28"/>
    <w:rsid w:val="00BF39AE"/>
    <w:rsid w:val="00BF6012"/>
    <w:rsid w:val="00BF63AD"/>
    <w:rsid w:val="00BF6825"/>
    <w:rsid w:val="00C0187B"/>
    <w:rsid w:val="00C039A6"/>
    <w:rsid w:val="00C0427F"/>
    <w:rsid w:val="00C0553E"/>
    <w:rsid w:val="00C060BC"/>
    <w:rsid w:val="00C10148"/>
    <w:rsid w:val="00C1279E"/>
    <w:rsid w:val="00C153EA"/>
    <w:rsid w:val="00C20552"/>
    <w:rsid w:val="00C215A4"/>
    <w:rsid w:val="00C21686"/>
    <w:rsid w:val="00C239CD"/>
    <w:rsid w:val="00C23B00"/>
    <w:rsid w:val="00C24AE0"/>
    <w:rsid w:val="00C306DF"/>
    <w:rsid w:val="00C30827"/>
    <w:rsid w:val="00C30EBF"/>
    <w:rsid w:val="00C328F9"/>
    <w:rsid w:val="00C33ACB"/>
    <w:rsid w:val="00C33D43"/>
    <w:rsid w:val="00C3689F"/>
    <w:rsid w:val="00C36FEB"/>
    <w:rsid w:val="00C37483"/>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3B91"/>
    <w:rsid w:val="00C6552E"/>
    <w:rsid w:val="00C6770A"/>
    <w:rsid w:val="00C67E8E"/>
    <w:rsid w:val="00C707D3"/>
    <w:rsid w:val="00C711F5"/>
    <w:rsid w:val="00C717F1"/>
    <w:rsid w:val="00C72502"/>
    <w:rsid w:val="00C72D0D"/>
    <w:rsid w:val="00C74CE3"/>
    <w:rsid w:val="00C75028"/>
    <w:rsid w:val="00C7774D"/>
    <w:rsid w:val="00C80BFF"/>
    <w:rsid w:val="00C81BB6"/>
    <w:rsid w:val="00C8527F"/>
    <w:rsid w:val="00C852DC"/>
    <w:rsid w:val="00C85F9E"/>
    <w:rsid w:val="00C86956"/>
    <w:rsid w:val="00C8787A"/>
    <w:rsid w:val="00C91E37"/>
    <w:rsid w:val="00C921E4"/>
    <w:rsid w:val="00C94C4A"/>
    <w:rsid w:val="00C95287"/>
    <w:rsid w:val="00C95C3A"/>
    <w:rsid w:val="00C95ED9"/>
    <w:rsid w:val="00C97A82"/>
    <w:rsid w:val="00CA118E"/>
    <w:rsid w:val="00CA1C5A"/>
    <w:rsid w:val="00CA3C74"/>
    <w:rsid w:val="00CA4568"/>
    <w:rsid w:val="00CA5A19"/>
    <w:rsid w:val="00CA7157"/>
    <w:rsid w:val="00CB0BE2"/>
    <w:rsid w:val="00CB33BC"/>
    <w:rsid w:val="00CB486A"/>
    <w:rsid w:val="00CC03E6"/>
    <w:rsid w:val="00CC2661"/>
    <w:rsid w:val="00CC49E0"/>
    <w:rsid w:val="00CC5645"/>
    <w:rsid w:val="00CC6094"/>
    <w:rsid w:val="00CD2DB0"/>
    <w:rsid w:val="00CD3035"/>
    <w:rsid w:val="00CD3F18"/>
    <w:rsid w:val="00CE06F2"/>
    <w:rsid w:val="00CE1CD6"/>
    <w:rsid w:val="00CE210C"/>
    <w:rsid w:val="00CE26E4"/>
    <w:rsid w:val="00CE4681"/>
    <w:rsid w:val="00CE671B"/>
    <w:rsid w:val="00CE6EF7"/>
    <w:rsid w:val="00CE740D"/>
    <w:rsid w:val="00CE7EE6"/>
    <w:rsid w:val="00CF0D50"/>
    <w:rsid w:val="00CF17A8"/>
    <w:rsid w:val="00CF419C"/>
    <w:rsid w:val="00CF49DB"/>
    <w:rsid w:val="00CF5836"/>
    <w:rsid w:val="00CF72EE"/>
    <w:rsid w:val="00D00D92"/>
    <w:rsid w:val="00D024F8"/>
    <w:rsid w:val="00D04C36"/>
    <w:rsid w:val="00D05528"/>
    <w:rsid w:val="00D06C6F"/>
    <w:rsid w:val="00D07AB9"/>
    <w:rsid w:val="00D07DFC"/>
    <w:rsid w:val="00D10DF6"/>
    <w:rsid w:val="00D15F6B"/>
    <w:rsid w:val="00D17AB3"/>
    <w:rsid w:val="00D17E12"/>
    <w:rsid w:val="00D2026F"/>
    <w:rsid w:val="00D20C00"/>
    <w:rsid w:val="00D20D99"/>
    <w:rsid w:val="00D228D6"/>
    <w:rsid w:val="00D23156"/>
    <w:rsid w:val="00D2316A"/>
    <w:rsid w:val="00D23EA3"/>
    <w:rsid w:val="00D24206"/>
    <w:rsid w:val="00D252ED"/>
    <w:rsid w:val="00D253D2"/>
    <w:rsid w:val="00D2724E"/>
    <w:rsid w:val="00D274AD"/>
    <w:rsid w:val="00D3094C"/>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C4D"/>
    <w:rsid w:val="00D60E83"/>
    <w:rsid w:val="00D630A6"/>
    <w:rsid w:val="00D677F4"/>
    <w:rsid w:val="00D70D0F"/>
    <w:rsid w:val="00D71B52"/>
    <w:rsid w:val="00D738ED"/>
    <w:rsid w:val="00D73C01"/>
    <w:rsid w:val="00D73EC2"/>
    <w:rsid w:val="00D7415F"/>
    <w:rsid w:val="00D7468B"/>
    <w:rsid w:val="00D76364"/>
    <w:rsid w:val="00D7670F"/>
    <w:rsid w:val="00D774B5"/>
    <w:rsid w:val="00D77CE4"/>
    <w:rsid w:val="00D830A9"/>
    <w:rsid w:val="00D87982"/>
    <w:rsid w:val="00D91EB3"/>
    <w:rsid w:val="00D94749"/>
    <w:rsid w:val="00D949FF"/>
    <w:rsid w:val="00D961CD"/>
    <w:rsid w:val="00DA1D80"/>
    <w:rsid w:val="00DA29E6"/>
    <w:rsid w:val="00DA52EB"/>
    <w:rsid w:val="00DA57A2"/>
    <w:rsid w:val="00DA5824"/>
    <w:rsid w:val="00DA6D86"/>
    <w:rsid w:val="00DA7150"/>
    <w:rsid w:val="00DA76A4"/>
    <w:rsid w:val="00DB02A8"/>
    <w:rsid w:val="00DB087C"/>
    <w:rsid w:val="00DB0B11"/>
    <w:rsid w:val="00DB1C47"/>
    <w:rsid w:val="00DB261D"/>
    <w:rsid w:val="00DB2A30"/>
    <w:rsid w:val="00DB3014"/>
    <w:rsid w:val="00DB309A"/>
    <w:rsid w:val="00DB336B"/>
    <w:rsid w:val="00DB45D7"/>
    <w:rsid w:val="00DB4CE5"/>
    <w:rsid w:val="00DB61CB"/>
    <w:rsid w:val="00DB664E"/>
    <w:rsid w:val="00DC17B7"/>
    <w:rsid w:val="00DC26E8"/>
    <w:rsid w:val="00DC3707"/>
    <w:rsid w:val="00DC5C66"/>
    <w:rsid w:val="00DC6D75"/>
    <w:rsid w:val="00DD077F"/>
    <w:rsid w:val="00DD1096"/>
    <w:rsid w:val="00DD2661"/>
    <w:rsid w:val="00DD2D46"/>
    <w:rsid w:val="00DD2FCB"/>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5C6C"/>
    <w:rsid w:val="00DF601A"/>
    <w:rsid w:val="00DF6D7A"/>
    <w:rsid w:val="00DF6F2E"/>
    <w:rsid w:val="00DF7271"/>
    <w:rsid w:val="00E006A1"/>
    <w:rsid w:val="00E007F1"/>
    <w:rsid w:val="00E00D0E"/>
    <w:rsid w:val="00E02B2A"/>
    <w:rsid w:val="00E037A1"/>
    <w:rsid w:val="00E04428"/>
    <w:rsid w:val="00E060F2"/>
    <w:rsid w:val="00E066D3"/>
    <w:rsid w:val="00E06B39"/>
    <w:rsid w:val="00E15297"/>
    <w:rsid w:val="00E153A9"/>
    <w:rsid w:val="00E2046C"/>
    <w:rsid w:val="00E26C96"/>
    <w:rsid w:val="00E2768D"/>
    <w:rsid w:val="00E27B91"/>
    <w:rsid w:val="00E33C40"/>
    <w:rsid w:val="00E35FAA"/>
    <w:rsid w:val="00E369C7"/>
    <w:rsid w:val="00E36B07"/>
    <w:rsid w:val="00E40451"/>
    <w:rsid w:val="00E40B8A"/>
    <w:rsid w:val="00E40C55"/>
    <w:rsid w:val="00E41079"/>
    <w:rsid w:val="00E422A1"/>
    <w:rsid w:val="00E430D7"/>
    <w:rsid w:val="00E433EF"/>
    <w:rsid w:val="00E434B8"/>
    <w:rsid w:val="00E50956"/>
    <w:rsid w:val="00E51665"/>
    <w:rsid w:val="00E53DB1"/>
    <w:rsid w:val="00E55A7D"/>
    <w:rsid w:val="00E55C32"/>
    <w:rsid w:val="00E575BD"/>
    <w:rsid w:val="00E614EF"/>
    <w:rsid w:val="00E620C9"/>
    <w:rsid w:val="00E627D2"/>
    <w:rsid w:val="00E62FDA"/>
    <w:rsid w:val="00E64A33"/>
    <w:rsid w:val="00E66D93"/>
    <w:rsid w:val="00E67542"/>
    <w:rsid w:val="00E67D29"/>
    <w:rsid w:val="00E73393"/>
    <w:rsid w:val="00E7485D"/>
    <w:rsid w:val="00E755F9"/>
    <w:rsid w:val="00E76475"/>
    <w:rsid w:val="00E8264C"/>
    <w:rsid w:val="00E8329F"/>
    <w:rsid w:val="00E847CD"/>
    <w:rsid w:val="00E8517E"/>
    <w:rsid w:val="00E87F0F"/>
    <w:rsid w:val="00E900E7"/>
    <w:rsid w:val="00E93532"/>
    <w:rsid w:val="00E943CB"/>
    <w:rsid w:val="00E9588F"/>
    <w:rsid w:val="00E970D8"/>
    <w:rsid w:val="00E97620"/>
    <w:rsid w:val="00E97CB0"/>
    <w:rsid w:val="00EA04A8"/>
    <w:rsid w:val="00EA0C00"/>
    <w:rsid w:val="00EA0E91"/>
    <w:rsid w:val="00EA36FF"/>
    <w:rsid w:val="00EA3B97"/>
    <w:rsid w:val="00EA43C3"/>
    <w:rsid w:val="00EA67BB"/>
    <w:rsid w:val="00EA763C"/>
    <w:rsid w:val="00EB02F3"/>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643D"/>
    <w:rsid w:val="00EE14D6"/>
    <w:rsid w:val="00EE164D"/>
    <w:rsid w:val="00EE36F5"/>
    <w:rsid w:val="00EE37AB"/>
    <w:rsid w:val="00EE4B08"/>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722"/>
    <w:rsid w:val="00F009FD"/>
    <w:rsid w:val="00F00DB7"/>
    <w:rsid w:val="00F03F18"/>
    <w:rsid w:val="00F04767"/>
    <w:rsid w:val="00F06377"/>
    <w:rsid w:val="00F1101A"/>
    <w:rsid w:val="00F12389"/>
    <w:rsid w:val="00F1309A"/>
    <w:rsid w:val="00F13AED"/>
    <w:rsid w:val="00F13AFB"/>
    <w:rsid w:val="00F16BF9"/>
    <w:rsid w:val="00F174F5"/>
    <w:rsid w:val="00F21916"/>
    <w:rsid w:val="00F21E1E"/>
    <w:rsid w:val="00F22949"/>
    <w:rsid w:val="00F231C3"/>
    <w:rsid w:val="00F235B6"/>
    <w:rsid w:val="00F25F24"/>
    <w:rsid w:val="00F264AA"/>
    <w:rsid w:val="00F2669E"/>
    <w:rsid w:val="00F27F08"/>
    <w:rsid w:val="00F30848"/>
    <w:rsid w:val="00F3358B"/>
    <w:rsid w:val="00F34595"/>
    <w:rsid w:val="00F36C76"/>
    <w:rsid w:val="00F40850"/>
    <w:rsid w:val="00F40C4B"/>
    <w:rsid w:val="00F41AAE"/>
    <w:rsid w:val="00F42981"/>
    <w:rsid w:val="00F4352D"/>
    <w:rsid w:val="00F446B3"/>
    <w:rsid w:val="00F51436"/>
    <w:rsid w:val="00F52D5A"/>
    <w:rsid w:val="00F539DE"/>
    <w:rsid w:val="00F5430F"/>
    <w:rsid w:val="00F57576"/>
    <w:rsid w:val="00F57CE8"/>
    <w:rsid w:val="00F57F8F"/>
    <w:rsid w:val="00F60C94"/>
    <w:rsid w:val="00F60DA6"/>
    <w:rsid w:val="00F62466"/>
    <w:rsid w:val="00F647F0"/>
    <w:rsid w:val="00F64BAA"/>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7A"/>
    <w:rsid w:val="00F931A2"/>
    <w:rsid w:val="00F949F6"/>
    <w:rsid w:val="00FA025D"/>
    <w:rsid w:val="00FA2433"/>
    <w:rsid w:val="00FA24F6"/>
    <w:rsid w:val="00FA3AB8"/>
    <w:rsid w:val="00FA416E"/>
    <w:rsid w:val="00FA49B9"/>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6041"/>
    <w:rsid w:val="00FD62B7"/>
    <w:rsid w:val="00FE03FC"/>
    <w:rsid w:val="00FE15D6"/>
    <w:rsid w:val="00FE1788"/>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alth.nt.gov.au/health-governance/department-of-health/committees-regulations-advisory-groups/pharmacy-premises-committ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unise.health.gov.au/internet/immunise/publishing.nsf/Content/59F63C79DAFAFB38CA257B020002C371/$File/strive-for-5-guidelines.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health.gov.au/internet/immunise/publishing.nsf/Content/Handbook10-ho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1AFC-272E-450F-B024-E520D8FC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Northern Territory Government S9 2017</vt:lpstr>
    </vt:vector>
  </TitlesOfParts>
  <Company>NTG</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S9 2017</dc:title>
  <dc:creator>Northern Territory Government</dc:creator>
  <cp:lastModifiedBy>mahec</cp:lastModifiedBy>
  <cp:revision>10</cp:revision>
  <cp:lastPrinted>2017-03-16T01:20:00Z</cp:lastPrinted>
  <dcterms:created xsi:type="dcterms:W3CDTF">2017-03-15T22:55:00Z</dcterms:created>
  <dcterms:modified xsi:type="dcterms:W3CDTF">2017-03-16T01:25:00Z</dcterms:modified>
</cp:coreProperties>
</file>