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530BB">
      <w:pPr>
        <w:pStyle w:val="Gazettenoanddate"/>
        <w:tabs>
          <w:tab w:val="left" w:pos="6237"/>
        </w:tabs>
      </w:pPr>
      <w:r>
        <w:t>No.</w:t>
      </w:r>
      <w:r w:rsidR="00282700">
        <w:t xml:space="preserve"> </w:t>
      </w:r>
      <w:r w:rsidR="00D66D67">
        <w:t>G</w:t>
      </w:r>
      <w:r w:rsidR="00290C04">
        <w:t>51</w:t>
      </w:r>
      <w:r w:rsidR="004E2B3B">
        <w:tab/>
      </w:r>
      <w:r w:rsidR="00290C04">
        <w:t>21</w:t>
      </w:r>
      <w:r w:rsidR="005123CA">
        <w:t xml:space="preserve"> December</w:t>
      </w:r>
      <w:r w:rsidR="00EF1859">
        <w:t xml:space="preserve"> 2016</w:t>
      </w:r>
    </w:p>
    <w:p w:rsidR="005708E7" w:rsidRPr="0023721B" w:rsidRDefault="005708E7" w:rsidP="00C14668">
      <w:pPr>
        <w:keepNext/>
        <w:widowControl w:val="0"/>
        <w:spacing w:before="120" w:after="120"/>
        <w:jc w:val="both"/>
        <w:outlineLvl w:val="0"/>
        <w:rPr>
          <w:rFonts w:eastAsia="Times New Roman"/>
          <w:b/>
          <w:bCs/>
          <w:kern w:val="32"/>
          <w:sz w:val="32"/>
          <w:szCs w:val="32"/>
        </w:rPr>
      </w:pPr>
      <w:r w:rsidRPr="0023721B">
        <w:rPr>
          <w:rFonts w:eastAsia="Times New Roman"/>
          <w:b/>
          <w:bCs/>
          <w:kern w:val="32"/>
          <w:sz w:val="32"/>
          <w:szCs w:val="32"/>
        </w:rPr>
        <w:t>Christmas/New Year publication</w:t>
      </w:r>
    </w:p>
    <w:p w:rsidR="009D4BFD" w:rsidRPr="009D4BFD" w:rsidRDefault="009D4BFD" w:rsidP="00C14668">
      <w:pPr>
        <w:pStyle w:val="Heading1"/>
        <w:widowControl w:val="0"/>
        <w:spacing w:before="120" w:after="120"/>
        <w:jc w:val="both"/>
        <w:rPr>
          <w:b w:val="0"/>
          <w:sz w:val="24"/>
          <w:szCs w:val="24"/>
        </w:rPr>
      </w:pPr>
      <w:r w:rsidRPr="009D4BFD">
        <w:rPr>
          <w:b w:val="0"/>
          <w:sz w:val="24"/>
          <w:szCs w:val="24"/>
        </w:rPr>
        <w:t>The last General Gazette for 2016 will be published on Wednesday</w:t>
      </w:r>
      <w:r w:rsidR="00471C8A">
        <w:rPr>
          <w:b w:val="0"/>
          <w:sz w:val="24"/>
          <w:szCs w:val="24"/>
        </w:rPr>
        <w:t> </w:t>
      </w:r>
      <w:r w:rsidRPr="009D4BFD">
        <w:rPr>
          <w:b w:val="0"/>
          <w:sz w:val="24"/>
          <w:szCs w:val="24"/>
        </w:rPr>
        <w:t>21</w:t>
      </w:r>
      <w:r w:rsidR="00471C8A">
        <w:rPr>
          <w:b w:val="0"/>
          <w:sz w:val="24"/>
          <w:szCs w:val="24"/>
        </w:rPr>
        <w:t> </w:t>
      </w:r>
      <w:r w:rsidRPr="009D4BFD">
        <w:rPr>
          <w:b w:val="0"/>
          <w:sz w:val="24"/>
          <w:szCs w:val="24"/>
        </w:rPr>
        <w:t>December.</w:t>
      </w:r>
    </w:p>
    <w:p w:rsidR="009D4BFD" w:rsidRDefault="009D4BFD" w:rsidP="00C14668">
      <w:pPr>
        <w:spacing w:before="120" w:after="120"/>
        <w:jc w:val="both"/>
        <w:rPr>
          <w:szCs w:val="24"/>
        </w:rPr>
      </w:pPr>
      <w:r>
        <w:rPr>
          <w:szCs w:val="24"/>
        </w:rPr>
        <w:t>The first General Gazette for 2017 will be published on Wednesday</w:t>
      </w:r>
      <w:r w:rsidR="00471C8A">
        <w:rPr>
          <w:szCs w:val="24"/>
        </w:rPr>
        <w:t> </w:t>
      </w:r>
      <w:r>
        <w:rPr>
          <w:szCs w:val="24"/>
        </w:rPr>
        <w:t>4</w:t>
      </w:r>
      <w:r w:rsidR="00471C8A">
        <w:rPr>
          <w:szCs w:val="24"/>
        </w:rPr>
        <w:t> </w:t>
      </w:r>
      <w:r>
        <w:rPr>
          <w:szCs w:val="24"/>
        </w:rPr>
        <w:t>January.</w:t>
      </w:r>
    </w:p>
    <w:p w:rsidR="000E1ABF" w:rsidRDefault="000E1ABF" w:rsidP="00C14668">
      <w:pPr>
        <w:spacing w:before="120" w:after="120"/>
        <w:jc w:val="both"/>
        <w:rPr>
          <w:szCs w:val="24"/>
        </w:rPr>
      </w:pPr>
      <w:r>
        <w:rPr>
          <w:szCs w:val="24"/>
        </w:rPr>
        <w:t>Urgent publication of a Gazette notice required between Thursday</w:t>
      </w:r>
      <w:r w:rsidR="00471C8A">
        <w:rPr>
          <w:szCs w:val="24"/>
        </w:rPr>
        <w:t> </w:t>
      </w:r>
      <w:r>
        <w:rPr>
          <w:szCs w:val="24"/>
        </w:rPr>
        <w:t>22</w:t>
      </w:r>
      <w:r w:rsidR="00471C8A">
        <w:rPr>
          <w:szCs w:val="24"/>
        </w:rPr>
        <w:t> </w:t>
      </w:r>
      <w:r>
        <w:rPr>
          <w:szCs w:val="24"/>
        </w:rPr>
        <w:t>December 2016 and Tuesday 3 January 2017 can be arranged by following the usual procedures.</w:t>
      </w:r>
    </w:p>
    <w:p w:rsidR="000E1ABF" w:rsidRPr="009D4BFD" w:rsidRDefault="00471C8A" w:rsidP="00C14668">
      <w:pPr>
        <w:spacing w:before="120" w:after="120"/>
        <w:jc w:val="both"/>
        <w:rPr>
          <w:szCs w:val="24"/>
        </w:rPr>
      </w:pPr>
      <w:r w:rsidRPr="00471C8A">
        <w:rPr>
          <w:b/>
          <w:szCs w:val="24"/>
        </w:rPr>
        <w:t>Please note General and Special Gazettes will not be published on Public Holidays</w:t>
      </w:r>
      <w:r>
        <w:rPr>
          <w:szCs w:val="24"/>
        </w:rPr>
        <w:t>.</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E323CC" w:rsidRPr="001F2D88" w:rsidRDefault="00E323CC" w:rsidP="0060657B">
      <w:pPr>
        <w:tabs>
          <w:tab w:val="left" w:pos="8640"/>
        </w:tabs>
        <w:spacing w:line="360" w:lineRule="auto"/>
        <w:jc w:val="center"/>
        <w:rPr>
          <w:spacing w:val="-3"/>
        </w:rPr>
      </w:pPr>
      <w:r w:rsidRPr="00CE1DB8">
        <w:rPr>
          <w:spacing w:val="-3"/>
        </w:rPr>
        <w:lastRenderedPageBreak/>
        <w:t>Northern Territory of Australia</w:t>
      </w:r>
    </w:p>
    <w:p w:rsidR="00E323CC" w:rsidRPr="004C196F" w:rsidRDefault="00E323CC" w:rsidP="0060657B">
      <w:pPr>
        <w:spacing w:line="360" w:lineRule="auto"/>
        <w:jc w:val="center"/>
        <w:outlineLvl w:val="0"/>
        <w:rPr>
          <w:rFonts w:cs="Helvetica"/>
          <w:i/>
        </w:rPr>
      </w:pPr>
      <w:r>
        <w:rPr>
          <w:rFonts w:cs="Helvetica"/>
          <w:i/>
        </w:rPr>
        <w:t>Professional Standards Act</w:t>
      </w:r>
    </w:p>
    <w:p w:rsidR="00E323CC" w:rsidRPr="005D2BCA" w:rsidRDefault="00E323CC" w:rsidP="0060657B">
      <w:pPr>
        <w:spacing w:line="360" w:lineRule="auto"/>
        <w:jc w:val="center"/>
        <w:rPr>
          <w:b/>
          <w:spacing w:val="-3"/>
        </w:rPr>
      </w:pPr>
      <w:r>
        <w:rPr>
          <w:b/>
          <w:spacing w:val="-3"/>
        </w:rPr>
        <w:t xml:space="preserve">Extension of The South Australian Bar Association </w:t>
      </w:r>
      <w:proofErr w:type="spellStart"/>
      <w:r>
        <w:rPr>
          <w:b/>
          <w:spacing w:val="-3"/>
        </w:rPr>
        <w:t>Inc</w:t>
      </w:r>
      <w:proofErr w:type="spellEnd"/>
      <w:r>
        <w:rPr>
          <w:b/>
          <w:spacing w:val="-3"/>
        </w:rPr>
        <w:t xml:space="preserve"> Scheme</w:t>
      </w:r>
    </w:p>
    <w:p w:rsidR="00E323CC" w:rsidRPr="005237BB" w:rsidRDefault="00E323CC" w:rsidP="00E323CC">
      <w:pPr>
        <w:spacing w:line="360" w:lineRule="auto"/>
        <w:jc w:val="both"/>
      </w:pPr>
      <w:r w:rsidRPr="00CE1DB8">
        <w:t xml:space="preserve">I, </w:t>
      </w:r>
      <w:r>
        <w:t>Natasha Kate Fyles, Attorney-General and Minister for Justice</w:t>
      </w:r>
      <w:r w:rsidRPr="00CE1DB8">
        <w:t>, under section </w:t>
      </w:r>
      <w:r>
        <w:t xml:space="preserve">33(2) </w:t>
      </w:r>
      <w:r w:rsidRPr="00CE1DB8">
        <w:t xml:space="preserve">of the </w:t>
      </w:r>
      <w:r>
        <w:rPr>
          <w:i/>
        </w:rPr>
        <w:t xml:space="preserve">Professional Standards </w:t>
      </w:r>
      <w:r w:rsidRPr="00643A83">
        <w:rPr>
          <w:i/>
        </w:rPr>
        <w:t>Act</w:t>
      </w:r>
      <w:r w:rsidRPr="00CE1DB8">
        <w:t xml:space="preserve">, </w:t>
      </w:r>
      <w:r>
        <w:t xml:space="preserve">extend the period for which The South Australian Bar Association </w:t>
      </w:r>
      <w:proofErr w:type="spellStart"/>
      <w:r>
        <w:t>Inc</w:t>
      </w:r>
      <w:proofErr w:type="spellEnd"/>
      <w:r>
        <w:t xml:space="preserve"> Scheme, notified in </w:t>
      </w:r>
      <w:r>
        <w:rPr>
          <w:i/>
        </w:rPr>
        <w:t>Gazette </w:t>
      </w:r>
      <w:r>
        <w:t>No. S28 of 20 June 2012, is in force to 30 June 2017.</w:t>
      </w:r>
    </w:p>
    <w:p w:rsidR="00E323CC" w:rsidRPr="00CE1DB8" w:rsidRDefault="00E323CC" w:rsidP="0060657B">
      <w:pPr>
        <w:spacing w:before="240" w:after="240" w:line="360" w:lineRule="auto"/>
      </w:pPr>
      <w:r w:rsidRPr="00CE1DB8">
        <w:t>Dated</w:t>
      </w:r>
      <w:r>
        <w:t xml:space="preserve"> 9 December 2016</w:t>
      </w:r>
    </w:p>
    <w:p w:rsidR="00E323CC" w:rsidRPr="00CE1DB8" w:rsidRDefault="0060657B" w:rsidP="0060657B">
      <w:pPr>
        <w:tabs>
          <w:tab w:val="left" w:pos="8640"/>
        </w:tabs>
        <w:spacing w:before="240"/>
        <w:jc w:val="right"/>
        <w:rPr>
          <w:spacing w:val="-3"/>
        </w:rPr>
      </w:pPr>
      <w:r>
        <w:rPr>
          <w:spacing w:val="-3"/>
        </w:rPr>
        <w:t>N. K. Fyles</w:t>
      </w:r>
    </w:p>
    <w:p w:rsidR="00E323CC" w:rsidRPr="00CE1DB8" w:rsidRDefault="00E323CC" w:rsidP="00E323CC">
      <w:pPr>
        <w:tabs>
          <w:tab w:val="left" w:pos="8640"/>
        </w:tabs>
        <w:spacing w:line="360" w:lineRule="auto"/>
        <w:jc w:val="right"/>
        <w:rPr>
          <w:spacing w:val="-3"/>
        </w:rPr>
      </w:pPr>
      <w:r>
        <w:rPr>
          <w:spacing w:val="-3"/>
        </w:rPr>
        <w:t>Attorney-General and Minister for Justice</w:t>
      </w:r>
    </w:p>
    <w:p w:rsidR="00E323CC" w:rsidRPr="001F2D88" w:rsidRDefault="00E323CC" w:rsidP="0060657B">
      <w:pPr>
        <w:tabs>
          <w:tab w:val="left" w:pos="8640"/>
        </w:tabs>
        <w:spacing w:before="1200" w:line="360" w:lineRule="auto"/>
        <w:jc w:val="center"/>
        <w:rPr>
          <w:spacing w:val="-3"/>
        </w:rPr>
      </w:pPr>
      <w:r w:rsidRPr="00CE1DB8">
        <w:rPr>
          <w:spacing w:val="-3"/>
        </w:rPr>
        <w:t>Northern Territory of Australia</w:t>
      </w:r>
    </w:p>
    <w:p w:rsidR="00E323CC" w:rsidRPr="004C196F" w:rsidRDefault="00E323CC" w:rsidP="00E323CC">
      <w:pPr>
        <w:spacing w:line="360" w:lineRule="auto"/>
        <w:jc w:val="center"/>
        <w:outlineLvl w:val="0"/>
        <w:rPr>
          <w:rFonts w:cs="Helvetica"/>
          <w:i/>
        </w:rPr>
      </w:pPr>
      <w:r>
        <w:rPr>
          <w:rFonts w:cs="Helvetica"/>
          <w:i/>
        </w:rPr>
        <w:t>Construction Contracts (Security of Payments) Act</w:t>
      </w:r>
    </w:p>
    <w:p w:rsidR="00E323CC" w:rsidRPr="005D2BCA" w:rsidRDefault="00E323CC" w:rsidP="00E323CC">
      <w:pPr>
        <w:spacing w:line="360" w:lineRule="auto"/>
        <w:jc w:val="center"/>
        <w:rPr>
          <w:b/>
          <w:spacing w:val="-3"/>
        </w:rPr>
      </w:pPr>
      <w:r>
        <w:rPr>
          <w:b/>
          <w:spacing w:val="-3"/>
        </w:rPr>
        <w:t>Appointment of Registrar</w:t>
      </w:r>
    </w:p>
    <w:p w:rsidR="00E323CC" w:rsidRDefault="00E323CC" w:rsidP="00E323CC">
      <w:pPr>
        <w:spacing w:line="360" w:lineRule="auto"/>
        <w:jc w:val="both"/>
      </w:pPr>
      <w:r w:rsidRPr="00CE1DB8">
        <w:t xml:space="preserve">I, </w:t>
      </w:r>
      <w:r>
        <w:t>Natasha Kate Fyles</w:t>
      </w:r>
      <w:r w:rsidRPr="00CE1DB8">
        <w:t xml:space="preserve">, </w:t>
      </w:r>
      <w:r>
        <w:t>Attorney-General and Minister for Justice</w:t>
      </w:r>
      <w:r w:rsidRPr="00CE1DB8">
        <w:t>, under section </w:t>
      </w:r>
      <w:r>
        <w:t xml:space="preserve">49(2) </w:t>
      </w:r>
      <w:r w:rsidRPr="00CE1DB8">
        <w:t xml:space="preserve">of the </w:t>
      </w:r>
      <w:r>
        <w:rPr>
          <w:i/>
        </w:rPr>
        <w:t xml:space="preserve">Construction Contracts (Security of Payments) </w:t>
      </w:r>
      <w:r w:rsidRPr="00643A83">
        <w:rPr>
          <w:i/>
        </w:rPr>
        <w:t>Act</w:t>
      </w:r>
      <w:r w:rsidRPr="00CE1DB8">
        <w:t xml:space="preserve">, </w:t>
      </w:r>
      <w:r>
        <w:t>appoint Guy Andrew Riley to be the Construction Contracts Registrar for 3 years on and from 1 January 2017.</w:t>
      </w:r>
    </w:p>
    <w:p w:rsidR="00E323CC" w:rsidRPr="00CE1DB8" w:rsidRDefault="00E323CC" w:rsidP="0060657B">
      <w:pPr>
        <w:spacing w:before="240" w:after="240" w:line="360" w:lineRule="auto"/>
      </w:pPr>
      <w:r w:rsidRPr="00CE1DB8">
        <w:t>Dated</w:t>
      </w:r>
      <w:r>
        <w:t xml:space="preserve"> 17 November 2016</w:t>
      </w:r>
    </w:p>
    <w:p w:rsidR="0060657B" w:rsidRPr="00CE1DB8" w:rsidRDefault="0060657B" w:rsidP="0060657B">
      <w:pPr>
        <w:tabs>
          <w:tab w:val="left" w:pos="8640"/>
        </w:tabs>
        <w:spacing w:before="240"/>
        <w:jc w:val="right"/>
        <w:rPr>
          <w:spacing w:val="-3"/>
        </w:rPr>
      </w:pPr>
      <w:r>
        <w:rPr>
          <w:spacing w:val="-3"/>
        </w:rPr>
        <w:t>N. K. Fyles</w:t>
      </w:r>
    </w:p>
    <w:p w:rsidR="00E323CC" w:rsidRPr="00E247AF" w:rsidRDefault="00E323CC" w:rsidP="00E323CC">
      <w:pPr>
        <w:tabs>
          <w:tab w:val="left" w:pos="8640"/>
        </w:tabs>
        <w:spacing w:line="360" w:lineRule="auto"/>
        <w:jc w:val="right"/>
        <w:rPr>
          <w:spacing w:val="-3"/>
        </w:rPr>
      </w:pPr>
      <w:r>
        <w:rPr>
          <w:spacing w:val="-3"/>
        </w:rPr>
        <w:t>Attorney-General and Minister for Justice</w:t>
      </w:r>
    </w:p>
    <w:p w:rsidR="00E323CC" w:rsidRPr="001F2D88" w:rsidRDefault="00E323CC" w:rsidP="003F5C22">
      <w:pPr>
        <w:pageBreakBefore/>
        <w:widowControl w:val="0"/>
        <w:tabs>
          <w:tab w:val="left" w:pos="8640"/>
        </w:tabs>
        <w:spacing w:line="360" w:lineRule="auto"/>
        <w:jc w:val="center"/>
        <w:rPr>
          <w:spacing w:val="-3"/>
        </w:rPr>
      </w:pPr>
      <w:r w:rsidRPr="00CE1DB8">
        <w:rPr>
          <w:spacing w:val="-3"/>
        </w:rPr>
        <w:lastRenderedPageBreak/>
        <w:t>Northern Territory of Australia</w:t>
      </w:r>
    </w:p>
    <w:p w:rsidR="00E323CC" w:rsidRPr="004C196F" w:rsidRDefault="00E323CC" w:rsidP="00E323CC">
      <w:pPr>
        <w:spacing w:line="360" w:lineRule="auto"/>
        <w:jc w:val="center"/>
        <w:outlineLvl w:val="0"/>
        <w:rPr>
          <w:rFonts w:cs="Helvetica"/>
          <w:i/>
        </w:rPr>
      </w:pPr>
      <w:r>
        <w:rPr>
          <w:rFonts w:cs="Helvetica"/>
          <w:i/>
        </w:rPr>
        <w:t>Interpretation Act</w:t>
      </w:r>
    </w:p>
    <w:p w:rsidR="00E323CC" w:rsidRPr="005D2BCA" w:rsidRDefault="00E323CC" w:rsidP="00975DD6">
      <w:pPr>
        <w:spacing w:after="120"/>
        <w:jc w:val="center"/>
        <w:rPr>
          <w:b/>
          <w:spacing w:val="-3"/>
        </w:rPr>
      </w:pPr>
      <w:r>
        <w:rPr>
          <w:b/>
          <w:spacing w:val="-3"/>
        </w:rPr>
        <w:t>Revocation of Approval and</w:t>
      </w:r>
      <w:r>
        <w:rPr>
          <w:b/>
          <w:spacing w:val="-3"/>
        </w:rPr>
        <w:br/>
        <w:t xml:space="preserve">Approval and </w:t>
      </w:r>
      <w:proofErr w:type="spellStart"/>
      <w:r>
        <w:rPr>
          <w:b/>
          <w:spacing w:val="-3"/>
        </w:rPr>
        <w:t>Authorisation</w:t>
      </w:r>
      <w:proofErr w:type="spellEnd"/>
    </w:p>
    <w:p w:rsidR="00E323CC" w:rsidRPr="00E16998" w:rsidRDefault="00E323CC" w:rsidP="00E323CC">
      <w:pPr>
        <w:spacing w:after="120" w:line="360" w:lineRule="auto"/>
        <w:jc w:val="center"/>
        <w:rPr>
          <w:b/>
          <w:spacing w:val="-3"/>
          <w:u w:val="single"/>
        </w:rPr>
      </w:pPr>
      <w:r w:rsidRPr="00E16998">
        <w:rPr>
          <w:b/>
          <w:spacing w:val="-3"/>
          <w:u w:val="single"/>
        </w:rPr>
        <w:t>Part A – Revocation of Approval and Approval</w:t>
      </w:r>
    </w:p>
    <w:p w:rsidR="00E323CC" w:rsidRDefault="00E323CC" w:rsidP="00E323CC">
      <w:pPr>
        <w:spacing w:after="120" w:line="360" w:lineRule="auto"/>
        <w:jc w:val="both"/>
      </w:pPr>
      <w:r w:rsidRPr="00CE1DB8">
        <w:t xml:space="preserve">I, </w:t>
      </w:r>
      <w:r>
        <w:t>Natasha Kate Fyles</w:t>
      </w:r>
      <w:r w:rsidRPr="00CE1DB8">
        <w:t>,</w:t>
      </w:r>
      <w:r>
        <w:t xml:space="preserve"> Attorney-General and</w:t>
      </w:r>
      <w:r w:rsidRPr="00CE1DB8">
        <w:t xml:space="preserve"> </w:t>
      </w:r>
      <w:r>
        <w:t>Minister for Justice:</w:t>
      </w:r>
    </w:p>
    <w:p w:rsidR="00E323CC" w:rsidRDefault="00E323CC" w:rsidP="00E323CC">
      <w:pPr>
        <w:spacing w:after="120" w:line="360" w:lineRule="auto"/>
        <w:ind w:left="720" w:hanging="720"/>
        <w:jc w:val="both"/>
      </w:pPr>
      <w:r>
        <w:t>(a)</w:t>
      </w:r>
      <w:r>
        <w:tab/>
      </w:r>
      <w:r w:rsidRPr="00CE1DB8">
        <w:t>under section </w:t>
      </w:r>
      <w:r>
        <w:t xml:space="preserve">46(1)(b) </w:t>
      </w:r>
      <w:r w:rsidRPr="00CE1DB8">
        <w:t xml:space="preserve">of the </w:t>
      </w:r>
      <w:r>
        <w:rPr>
          <w:i/>
        </w:rPr>
        <w:t xml:space="preserve">Interpretation </w:t>
      </w:r>
      <w:r w:rsidRPr="00643A83">
        <w:rPr>
          <w:i/>
        </w:rPr>
        <w:t>Act</w:t>
      </w:r>
      <w:r>
        <w:t xml:space="preserve"> and with reference to section 43 of the Act, revoke all approvals given under the </w:t>
      </w:r>
      <w:r w:rsidRPr="007A086D">
        <w:t>Act</w:t>
      </w:r>
      <w:r>
        <w:t xml:space="preserve"> approving a person to be </w:t>
      </w:r>
      <w:proofErr w:type="spellStart"/>
      <w:r>
        <w:t>authorised</w:t>
      </w:r>
      <w:proofErr w:type="spellEnd"/>
      <w:r>
        <w:t xml:space="preserve"> by the Construction Contracts Registrar to exercise the powers and perform the functions of the Registrar under the </w:t>
      </w:r>
      <w:r>
        <w:rPr>
          <w:i/>
        </w:rPr>
        <w:t>Construction Contracts (Security of Payments) Act</w:t>
      </w:r>
      <w:r>
        <w:t xml:space="preserve"> that are in force immediately before the commencement of this instrument; and</w:t>
      </w:r>
    </w:p>
    <w:p w:rsidR="00E323CC" w:rsidRPr="00BC695C" w:rsidRDefault="00E323CC" w:rsidP="00E323CC">
      <w:pPr>
        <w:spacing w:after="120" w:line="360" w:lineRule="auto"/>
        <w:ind w:left="720" w:hanging="720"/>
        <w:jc w:val="both"/>
      </w:pPr>
      <w:r>
        <w:t>(b)</w:t>
      </w:r>
      <w:r>
        <w:tab/>
        <w:t xml:space="preserve">under section 46(1)(b) of the </w:t>
      </w:r>
      <w:r>
        <w:rPr>
          <w:i/>
        </w:rPr>
        <w:t xml:space="preserve">Interpretation </w:t>
      </w:r>
      <w:r w:rsidRPr="00224E8B">
        <w:rPr>
          <w:i/>
        </w:rPr>
        <w:t>Act</w:t>
      </w:r>
      <w:r>
        <w:t xml:space="preserve">, approve the person from time to time holding, acting in or performing the duties of the position of Director of Legal Policy in the Department of the Attorney-General and Justice being </w:t>
      </w:r>
      <w:proofErr w:type="spellStart"/>
      <w:r>
        <w:t>authorised</w:t>
      </w:r>
      <w:proofErr w:type="spellEnd"/>
      <w:r>
        <w:t xml:space="preserve"> by the Registrar</w:t>
      </w:r>
      <w:r>
        <w:rPr>
          <w:i/>
        </w:rPr>
        <w:t xml:space="preserve"> </w:t>
      </w:r>
      <w:r w:rsidRPr="00354819">
        <w:t>to exercise</w:t>
      </w:r>
      <w:r>
        <w:t xml:space="preserve"> </w:t>
      </w:r>
      <w:r w:rsidRPr="00354819">
        <w:t>the powers and perform</w:t>
      </w:r>
      <w:r>
        <w:t xml:space="preserve"> the functions of the Registrar under the </w:t>
      </w:r>
      <w:r>
        <w:rPr>
          <w:i/>
        </w:rPr>
        <w:t>Construction Contracts (Security of Payments) Act</w:t>
      </w:r>
      <w:r>
        <w:t xml:space="preserve"> when the Registrar is absent from duty.</w:t>
      </w:r>
    </w:p>
    <w:p w:rsidR="00E323CC" w:rsidRPr="00CE1DB8" w:rsidRDefault="00E323CC" w:rsidP="0060657B">
      <w:pPr>
        <w:spacing w:before="240" w:after="240" w:line="360" w:lineRule="auto"/>
      </w:pPr>
      <w:r w:rsidRPr="00CE1DB8">
        <w:t>Dated</w:t>
      </w:r>
      <w:r w:rsidR="0060657B">
        <w:t xml:space="preserve"> </w:t>
      </w:r>
      <w:r w:rsidR="00975DD6">
        <w:t>17 November 2016</w:t>
      </w:r>
    </w:p>
    <w:p w:rsidR="00E323CC" w:rsidRPr="00CE1DB8" w:rsidRDefault="00975DD6" w:rsidP="00975DD6">
      <w:pPr>
        <w:tabs>
          <w:tab w:val="left" w:pos="8640"/>
        </w:tabs>
        <w:spacing w:before="240"/>
        <w:jc w:val="right"/>
        <w:rPr>
          <w:spacing w:val="-3"/>
        </w:rPr>
      </w:pPr>
      <w:r>
        <w:rPr>
          <w:spacing w:val="-3"/>
        </w:rPr>
        <w:t>N. K. Fyles</w:t>
      </w:r>
    </w:p>
    <w:p w:rsidR="00E323CC" w:rsidRPr="00CE1DB8" w:rsidRDefault="00E323CC" w:rsidP="00E323CC">
      <w:pPr>
        <w:tabs>
          <w:tab w:val="left" w:pos="8640"/>
        </w:tabs>
        <w:spacing w:line="360" w:lineRule="auto"/>
        <w:jc w:val="right"/>
        <w:rPr>
          <w:spacing w:val="-3"/>
        </w:rPr>
      </w:pPr>
      <w:r>
        <w:rPr>
          <w:spacing w:val="-3"/>
        </w:rPr>
        <w:t>Attorney-General and Minister for Justice</w:t>
      </w:r>
    </w:p>
    <w:p w:rsidR="00E323CC" w:rsidRPr="00E16998" w:rsidRDefault="00E323CC" w:rsidP="003F5C22">
      <w:pPr>
        <w:spacing w:before="240" w:after="120" w:line="360" w:lineRule="auto"/>
        <w:jc w:val="center"/>
        <w:rPr>
          <w:rFonts w:cs="Helvetica"/>
          <w:b/>
          <w:u w:val="single"/>
        </w:rPr>
      </w:pPr>
      <w:r w:rsidRPr="00E16998">
        <w:rPr>
          <w:b/>
          <w:spacing w:val="-3"/>
          <w:u w:val="single"/>
        </w:rPr>
        <w:t xml:space="preserve">Part B – </w:t>
      </w:r>
      <w:proofErr w:type="spellStart"/>
      <w:r w:rsidRPr="00E16998">
        <w:rPr>
          <w:b/>
          <w:spacing w:val="-3"/>
          <w:u w:val="single"/>
        </w:rPr>
        <w:t>Authorisation</w:t>
      </w:r>
      <w:proofErr w:type="spellEnd"/>
    </w:p>
    <w:p w:rsidR="00E323CC" w:rsidRDefault="00E323CC" w:rsidP="00E323CC">
      <w:pPr>
        <w:spacing w:after="120" w:line="360" w:lineRule="auto"/>
        <w:ind w:left="720" w:hanging="720"/>
        <w:jc w:val="center"/>
        <w:rPr>
          <w:rFonts w:cs="Helvetica"/>
          <w:b/>
        </w:rPr>
      </w:pPr>
      <w:r w:rsidRPr="00A87A2F">
        <w:rPr>
          <w:i/>
        </w:rPr>
        <w:t>(Complete only if Part A has been signed by the Minister.)</w:t>
      </w:r>
    </w:p>
    <w:p w:rsidR="00E323CC" w:rsidRPr="00BD05E1" w:rsidRDefault="00E323CC" w:rsidP="00E323CC">
      <w:pPr>
        <w:spacing w:after="120" w:line="360" w:lineRule="auto"/>
        <w:jc w:val="both"/>
      </w:pPr>
      <w:r>
        <w:rPr>
          <w:rFonts w:cs="Helvetica"/>
        </w:rPr>
        <w:t xml:space="preserve">I, Guy Andrew Riley, Construction Contracts Registrar, under </w:t>
      </w:r>
      <w:r>
        <w:t xml:space="preserve">section 46(1)(b) of the </w:t>
      </w:r>
      <w:r>
        <w:rPr>
          <w:i/>
        </w:rPr>
        <w:t>Interpretation Act</w:t>
      </w:r>
      <w:r>
        <w:t xml:space="preserve">, </w:t>
      </w:r>
      <w:proofErr w:type="spellStart"/>
      <w:r>
        <w:t>authorise</w:t>
      </w:r>
      <w:proofErr w:type="spellEnd"/>
      <w:r>
        <w:t xml:space="preserve"> the person from time to time holding, acting in or performing the duties of the position of Director of Legal Policy in the Department of the Attorney-General and Justice to exercise my powers and perform my functions under the </w:t>
      </w:r>
      <w:r>
        <w:rPr>
          <w:i/>
        </w:rPr>
        <w:t>Construction Contracts (Security of Payments) Act</w:t>
      </w:r>
      <w:r>
        <w:t xml:space="preserve"> when I am absent from duty.</w:t>
      </w:r>
    </w:p>
    <w:p w:rsidR="00E323CC" w:rsidRDefault="00E323CC" w:rsidP="003F5C22">
      <w:pPr>
        <w:spacing w:line="360" w:lineRule="auto"/>
        <w:rPr>
          <w:rFonts w:cs="Helvetica"/>
        </w:rPr>
      </w:pPr>
      <w:r>
        <w:rPr>
          <w:rFonts w:cs="Helvetica"/>
        </w:rPr>
        <w:t>Dated</w:t>
      </w:r>
      <w:r w:rsidR="003F5C22">
        <w:rPr>
          <w:rFonts w:cs="Helvetica"/>
        </w:rPr>
        <w:t xml:space="preserve"> </w:t>
      </w:r>
      <w:r w:rsidR="003C5CD3">
        <w:rPr>
          <w:rFonts w:cs="Helvetica"/>
        </w:rPr>
        <w:t>24 November 2016</w:t>
      </w:r>
    </w:p>
    <w:p w:rsidR="00E323CC" w:rsidRDefault="003F5C22" w:rsidP="003F5C22">
      <w:pPr>
        <w:jc w:val="right"/>
        <w:rPr>
          <w:rFonts w:cs="Helvetica"/>
        </w:rPr>
      </w:pPr>
      <w:r>
        <w:rPr>
          <w:rFonts w:cs="Helvetica"/>
        </w:rPr>
        <w:t>G. A. Riley</w:t>
      </w:r>
    </w:p>
    <w:p w:rsidR="00E323CC" w:rsidRPr="00B31BF0" w:rsidRDefault="00E323CC" w:rsidP="00E323CC">
      <w:pPr>
        <w:spacing w:line="360" w:lineRule="auto"/>
        <w:jc w:val="right"/>
        <w:rPr>
          <w:rFonts w:cs="Helvetica"/>
        </w:rPr>
      </w:pPr>
      <w:r>
        <w:rPr>
          <w:rFonts w:cs="Helvetica"/>
        </w:rPr>
        <w:t>Construction Contracts Registrar</w:t>
      </w:r>
    </w:p>
    <w:p w:rsidR="00D269BF" w:rsidRPr="001F2D88" w:rsidRDefault="00D269BF" w:rsidP="00D269BF">
      <w:pPr>
        <w:tabs>
          <w:tab w:val="left" w:pos="8640"/>
        </w:tabs>
        <w:spacing w:line="360" w:lineRule="auto"/>
        <w:jc w:val="center"/>
        <w:rPr>
          <w:spacing w:val="-3"/>
        </w:rPr>
      </w:pPr>
      <w:r w:rsidRPr="00CE1DB8">
        <w:rPr>
          <w:spacing w:val="-3"/>
        </w:rPr>
        <w:lastRenderedPageBreak/>
        <w:t>Northern Territory of Australia</w:t>
      </w:r>
    </w:p>
    <w:p w:rsidR="00D269BF" w:rsidRPr="004C196F" w:rsidRDefault="00D269BF" w:rsidP="00D269BF">
      <w:pPr>
        <w:spacing w:line="360" w:lineRule="auto"/>
        <w:jc w:val="center"/>
        <w:outlineLvl w:val="0"/>
        <w:rPr>
          <w:rFonts w:cs="Helvetica"/>
          <w:i/>
        </w:rPr>
      </w:pPr>
      <w:r>
        <w:rPr>
          <w:rFonts w:cs="Helvetica"/>
          <w:i/>
        </w:rPr>
        <w:t>Cobourg Peninsula Aboriginal Land, Sanctuary and Marine Park Act</w:t>
      </w:r>
    </w:p>
    <w:p w:rsidR="00D269BF" w:rsidRPr="005D2BCA" w:rsidRDefault="00D269BF" w:rsidP="003F5C22">
      <w:pPr>
        <w:spacing w:after="120"/>
        <w:jc w:val="center"/>
        <w:rPr>
          <w:b/>
          <w:spacing w:val="-3"/>
        </w:rPr>
      </w:pPr>
      <w:r>
        <w:rPr>
          <w:b/>
          <w:spacing w:val="-3"/>
        </w:rPr>
        <w:t>Cobourg Peninsula Sanctuary and Marine Park Board</w:t>
      </w:r>
      <w:r>
        <w:rPr>
          <w:b/>
          <w:spacing w:val="-3"/>
        </w:rPr>
        <w:br/>
        <w:t>Termination of Appointment of Member</w:t>
      </w:r>
    </w:p>
    <w:p w:rsidR="00D269BF" w:rsidRPr="00743AF4" w:rsidRDefault="00D269BF" w:rsidP="00D269BF">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21(1)(a) </w:t>
      </w:r>
      <w:r w:rsidRPr="00CE1DB8">
        <w:t xml:space="preserve">of the </w:t>
      </w:r>
      <w:r>
        <w:rPr>
          <w:i/>
        </w:rPr>
        <w:t>Cobourg Peninsula Aboriginal Land, Sanctuary and Marine Park Act</w:t>
      </w:r>
      <w:r>
        <w:t xml:space="preserve">, terminate the appointment of Paul Charles </w:t>
      </w:r>
      <w:proofErr w:type="spellStart"/>
      <w:r>
        <w:t>Josif</w:t>
      </w:r>
      <w:proofErr w:type="spellEnd"/>
      <w:r>
        <w:t xml:space="preserve"> as a member of the Cobourg Peninsula Sanctuary and Marine Park Board.</w:t>
      </w:r>
    </w:p>
    <w:p w:rsidR="00D269BF" w:rsidRPr="00CE1DB8" w:rsidRDefault="00D269BF" w:rsidP="003F5C22">
      <w:pPr>
        <w:spacing w:before="240" w:after="240" w:line="360" w:lineRule="auto"/>
      </w:pPr>
      <w:r w:rsidRPr="00CE1DB8">
        <w:t>Dated</w:t>
      </w:r>
      <w:r w:rsidR="00234805">
        <w:t xml:space="preserve"> 12 December 2016</w:t>
      </w:r>
    </w:p>
    <w:p w:rsidR="00D269BF" w:rsidRPr="00CE1DB8" w:rsidRDefault="003F5C22" w:rsidP="003F5C22">
      <w:pPr>
        <w:tabs>
          <w:tab w:val="left" w:pos="8640"/>
        </w:tabs>
        <w:spacing w:before="240"/>
        <w:jc w:val="right"/>
        <w:rPr>
          <w:spacing w:val="-3"/>
        </w:rPr>
      </w:pPr>
      <w:r>
        <w:rPr>
          <w:spacing w:val="-3"/>
        </w:rPr>
        <w:t>L. J. Moss</w:t>
      </w:r>
    </w:p>
    <w:p w:rsidR="00D269BF" w:rsidRPr="00CE1DB8" w:rsidRDefault="00D269BF" w:rsidP="00D269BF">
      <w:pPr>
        <w:tabs>
          <w:tab w:val="left" w:pos="8640"/>
        </w:tabs>
        <w:spacing w:line="360" w:lineRule="auto"/>
        <w:jc w:val="right"/>
        <w:rPr>
          <w:spacing w:val="-3"/>
        </w:rPr>
      </w:pPr>
      <w:r>
        <w:rPr>
          <w:spacing w:val="-3"/>
        </w:rPr>
        <w:t>Minister for Tourism and Culture</w:t>
      </w:r>
    </w:p>
    <w:p w:rsidR="00191212" w:rsidRDefault="00191212" w:rsidP="008D3F75">
      <w:pPr>
        <w:tabs>
          <w:tab w:val="center" w:pos="4513"/>
        </w:tabs>
        <w:suppressAutoHyphens/>
        <w:spacing w:before="1080" w:line="360" w:lineRule="auto"/>
        <w:jc w:val="center"/>
        <w:rPr>
          <w:spacing w:val="-3"/>
          <w:lang w:val="en-GB"/>
        </w:rPr>
      </w:pPr>
      <w:r>
        <w:rPr>
          <w:spacing w:val="-3"/>
          <w:lang w:val="en-GB"/>
        </w:rPr>
        <w:t>Northern Territory of Australia</w:t>
      </w:r>
    </w:p>
    <w:p w:rsidR="00191212" w:rsidRPr="00063E34" w:rsidRDefault="00191212" w:rsidP="00063E34">
      <w:pPr>
        <w:pStyle w:val="Heading1"/>
        <w:keepNext w:val="0"/>
        <w:spacing w:before="0" w:line="360" w:lineRule="auto"/>
        <w:jc w:val="center"/>
        <w:rPr>
          <w:i/>
          <w:sz w:val="24"/>
          <w:szCs w:val="24"/>
        </w:rPr>
      </w:pPr>
      <w:r w:rsidRPr="00063E34">
        <w:rPr>
          <w:i/>
          <w:sz w:val="24"/>
          <w:szCs w:val="24"/>
        </w:rPr>
        <w:t>Building Act</w:t>
      </w:r>
    </w:p>
    <w:p w:rsidR="00191212" w:rsidRPr="002D4306" w:rsidRDefault="00191212" w:rsidP="00063E34">
      <w:pPr>
        <w:spacing w:after="120"/>
        <w:jc w:val="center"/>
        <w:rPr>
          <w:b/>
        </w:rPr>
      </w:pPr>
      <w:r>
        <w:rPr>
          <w:b/>
        </w:rPr>
        <w:t>Revocation of Determinations and</w:t>
      </w:r>
      <w:r>
        <w:rPr>
          <w:b/>
        </w:rPr>
        <w:br/>
      </w:r>
      <w:r w:rsidRPr="002D4306">
        <w:rPr>
          <w:b/>
        </w:rPr>
        <w:t>Determinations Relating to Building Practitioners</w:t>
      </w:r>
    </w:p>
    <w:p w:rsidR="00191212" w:rsidRDefault="00191212" w:rsidP="00191212">
      <w:pPr>
        <w:spacing w:after="120" w:line="360" w:lineRule="auto"/>
        <w:jc w:val="both"/>
      </w:pPr>
      <w:r w:rsidRPr="004B4419">
        <w:t xml:space="preserve">I, </w:t>
      </w:r>
      <w:r w:rsidRPr="002D4306">
        <w:t>Natasha Kate Fyles</w:t>
      </w:r>
      <w:r w:rsidRPr="004B4419">
        <w:t xml:space="preserve">, </w:t>
      </w:r>
      <w:r w:rsidRPr="002D4306">
        <w:t>Attorney-General and Minister for Justice</w:t>
      </w:r>
      <w:r>
        <w:t>:</w:t>
      </w:r>
    </w:p>
    <w:p w:rsidR="00191212" w:rsidRDefault="00191212" w:rsidP="00191212">
      <w:pPr>
        <w:spacing w:after="120" w:line="360" w:lineRule="auto"/>
        <w:ind w:left="720" w:hanging="720"/>
        <w:jc w:val="both"/>
      </w:pPr>
      <w:r>
        <w:t>(a)</w:t>
      </w:r>
      <w:r>
        <w:tab/>
      </w:r>
      <w:r w:rsidRPr="00560402">
        <w:t xml:space="preserve">under </w:t>
      </w:r>
      <w:r>
        <w:t xml:space="preserve">section 24G of the </w:t>
      </w:r>
      <w:r>
        <w:rPr>
          <w:i/>
        </w:rPr>
        <w:t xml:space="preserve">Building Act </w:t>
      </w:r>
      <w:r>
        <w:t xml:space="preserve">and with reference to section 43 of the </w:t>
      </w:r>
      <w:r>
        <w:rPr>
          <w:i/>
        </w:rPr>
        <w:t>Interpretation Act</w:t>
      </w:r>
      <w:r>
        <w:t>, revoke the determinations made by instrument dated 27</w:t>
      </w:r>
      <w:r w:rsidR="008D3F75">
        <w:t> </w:t>
      </w:r>
      <w:r>
        <w:t xml:space="preserve">December 2012 and published in </w:t>
      </w:r>
      <w:r w:rsidRPr="002D4306">
        <w:rPr>
          <w:i/>
        </w:rPr>
        <w:t>Gazette</w:t>
      </w:r>
      <w:r>
        <w:rPr>
          <w:i/>
        </w:rPr>
        <w:t xml:space="preserve"> </w:t>
      </w:r>
      <w:r>
        <w:t>No. S85 on 28 December 2012; and</w:t>
      </w:r>
    </w:p>
    <w:p w:rsidR="00191212" w:rsidRDefault="00191212" w:rsidP="00191212">
      <w:pPr>
        <w:spacing w:after="120" w:line="360" w:lineRule="auto"/>
        <w:ind w:left="720" w:hanging="720"/>
        <w:jc w:val="both"/>
      </w:pPr>
      <w:r>
        <w:t>(b)</w:t>
      </w:r>
      <w:r>
        <w:tab/>
        <w:t xml:space="preserve">under section 24G(a) of the </w:t>
      </w:r>
      <w:r>
        <w:rPr>
          <w:i/>
        </w:rPr>
        <w:t>Building Act</w:t>
      </w:r>
      <w:r>
        <w:t>, determine that the</w:t>
      </w:r>
      <w:r w:rsidRPr="009E68B9">
        <w:t xml:space="preserve"> qualifications and experience for registration as a building practitioner in a category of building practitioner</w:t>
      </w:r>
      <w:r>
        <w:t xml:space="preserve"> are as specified in Schedule 1; and</w:t>
      </w:r>
    </w:p>
    <w:p w:rsidR="00191212" w:rsidRPr="009E68B9" w:rsidRDefault="00191212" w:rsidP="00191212">
      <w:pPr>
        <w:spacing w:line="360" w:lineRule="auto"/>
        <w:ind w:left="720" w:hanging="720"/>
        <w:jc w:val="both"/>
      </w:pPr>
      <w:r>
        <w:t>(c)</w:t>
      </w:r>
      <w:r>
        <w:tab/>
        <w:t xml:space="preserve">under section 24G(c) of the </w:t>
      </w:r>
      <w:r>
        <w:rPr>
          <w:i/>
        </w:rPr>
        <w:t>Building Act</w:t>
      </w:r>
      <w:r>
        <w:t xml:space="preserve">, determine that </w:t>
      </w:r>
      <w:r w:rsidRPr="009E68B9">
        <w:t>the types of insurance policies, and amounts of insurance to</w:t>
      </w:r>
      <w:r>
        <w:t xml:space="preserve"> be provided under the policies,</w:t>
      </w:r>
      <w:r w:rsidRPr="009E68B9">
        <w:t xml:space="preserve"> that may be prescribed by regulation for section 24(3), 24B(3) or 24F(5)</w:t>
      </w:r>
      <w:r>
        <w:t xml:space="preserve"> of the Act are as specified in Schedule 2.</w:t>
      </w:r>
    </w:p>
    <w:p w:rsidR="00191212" w:rsidRPr="00560402" w:rsidRDefault="00191212" w:rsidP="00701285">
      <w:pPr>
        <w:pStyle w:val="TOAHeading"/>
        <w:tabs>
          <w:tab w:val="clear" w:pos="9000"/>
          <w:tab w:val="clear" w:pos="9360"/>
        </w:tabs>
        <w:suppressAutoHyphens w:val="0"/>
        <w:spacing w:before="240" w:after="240" w:line="360" w:lineRule="auto"/>
        <w:rPr>
          <w:rFonts w:ascii="Helvetica" w:hAnsi="Helvetica"/>
          <w:sz w:val="24"/>
          <w:szCs w:val="24"/>
          <w:lang w:val="en-AU"/>
        </w:rPr>
      </w:pPr>
      <w:r>
        <w:rPr>
          <w:rFonts w:ascii="Helvetica" w:hAnsi="Helvetica"/>
          <w:sz w:val="24"/>
          <w:szCs w:val="24"/>
          <w:lang w:val="en-AU"/>
        </w:rPr>
        <w:t>Dated</w:t>
      </w:r>
      <w:r w:rsidR="00701285">
        <w:rPr>
          <w:rFonts w:ascii="Helvetica" w:hAnsi="Helvetica"/>
          <w:sz w:val="24"/>
          <w:szCs w:val="24"/>
          <w:lang w:val="en-AU"/>
        </w:rPr>
        <w:t xml:space="preserve"> 9 December 2016</w:t>
      </w:r>
    </w:p>
    <w:p w:rsidR="00191212" w:rsidRDefault="00701285" w:rsidP="00701285">
      <w:pPr>
        <w:spacing w:before="240"/>
        <w:jc w:val="right"/>
      </w:pPr>
      <w:r>
        <w:t>N. K. Fyles</w:t>
      </w:r>
    </w:p>
    <w:p w:rsidR="00191212" w:rsidRDefault="00191212" w:rsidP="00191212">
      <w:pPr>
        <w:spacing w:line="360" w:lineRule="auto"/>
        <w:jc w:val="right"/>
      </w:pPr>
      <w:r w:rsidRPr="00F24552">
        <w:t>Attorney-General and Minister for Justice</w:t>
      </w:r>
    </w:p>
    <w:p w:rsidR="00191212" w:rsidRDefault="00191212" w:rsidP="00701285">
      <w:pPr>
        <w:pageBreakBefore/>
        <w:widowControl w:val="0"/>
        <w:spacing w:after="120"/>
        <w:jc w:val="center"/>
        <w:rPr>
          <w:b/>
        </w:rPr>
      </w:pPr>
      <w:r w:rsidRPr="00074419">
        <w:rPr>
          <w:b/>
        </w:rPr>
        <w:lastRenderedPageBreak/>
        <w:t>Schedule 1</w:t>
      </w:r>
    </w:p>
    <w:tbl>
      <w:tblPr>
        <w:tblW w:w="9322" w:type="dxa"/>
        <w:tblLayout w:type="fixed"/>
        <w:tblLook w:val="04A0" w:firstRow="1" w:lastRow="0" w:firstColumn="1" w:lastColumn="0" w:noHBand="0" w:noVBand="1"/>
        <w:tblCaption w:val="Schedule 1"/>
        <w:tblDescription w:val="Qualifications and experience for registration as building practitioner"/>
      </w:tblPr>
      <w:tblGrid>
        <w:gridCol w:w="3510"/>
        <w:gridCol w:w="567"/>
        <w:gridCol w:w="5245"/>
      </w:tblGrid>
      <w:tr w:rsidR="00191212" w:rsidRPr="002A0976" w:rsidTr="00701285">
        <w:tc>
          <w:tcPr>
            <w:tcW w:w="9322" w:type="dxa"/>
            <w:gridSpan w:val="3"/>
            <w:shd w:val="clear" w:color="auto" w:fill="auto"/>
          </w:tcPr>
          <w:p w:rsidR="00191212" w:rsidRPr="002A0976" w:rsidRDefault="00191212" w:rsidP="009A25E0">
            <w:pPr>
              <w:spacing w:before="120" w:after="120"/>
              <w:jc w:val="center"/>
              <w:rPr>
                <w:b/>
              </w:rPr>
            </w:pPr>
            <w:r w:rsidRPr="002A0976">
              <w:rPr>
                <w:b/>
              </w:rPr>
              <w:t>Qualifications and experience for registration as building practitioner</w:t>
            </w:r>
          </w:p>
        </w:tc>
      </w:tr>
      <w:tr w:rsidR="00191212" w:rsidRPr="002A0976" w:rsidTr="00701285">
        <w:trPr>
          <w:trHeight w:val="1781"/>
        </w:trPr>
        <w:tc>
          <w:tcPr>
            <w:tcW w:w="9322" w:type="dxa"/>
            <w:gridSpan w:val="3"/>
            <w:shd w:val="clear" w:color="auto" w:fill="auto"/>
          </w:tcPr>
          <w:p w:rsidR="00191212" w:rsidRPr="002A0976" w:rsidRDefault="00191212" w:rsidP="00EC415A">
            <w:pPr>
              <w:spacing w:before="120" w:after="120"/>
              <w:ind w:left="720" w:hanging="720"/>
              <w:jc w:val="both"/>
              <w:rPr>
                <w:b/>
              </w:rPr>
            </w:pPr>
            <w:r w:rsidRPr="002A0976">
              <w:rPr>
                <w:b/>
              </w:rPr>
              <w:t>1</w:t>
            </w:r>
            <w:r w:rsidRPr="002A0976">
              <w:rPr>
                <w:b/>
              </w:rPr>
              <w:tab/>
              <w:t>Building contractor residential (restricted)</w:t>
            </w:r>
          </w:p>
          <w:p w:rsidR="00191212" w:rsidRPr="002A0976" w:rsidRDefault="00191212" w:rsidP="00EC415A">
            <w:pPr>
              <w:spacing w:before="120" w:after="120"/>
              <w:ind w:left="720"/>
              <w:jc w:val="both"/>
            </w:pPr>
            <w:r w:rsidRPr="002A0976">
              <w:t>The qualifications and experience for r</w:t>
            </w:r>
            <w:r>
              <w:t>egistration in the category of b</w:t>
            </w:r>
            <w:r w:rsidRPr="002A0976">
              <w:t>uilding contractor residential (restricted) are:</w:t>
            </w:r>
          </w:p>
          <w:p w:rsidR="00191212" w:rsidRPr="002A0976" w:rsidRDefault="00191212" w:rsidP="00EC415A">
            <w:pPr>
              <w:spacing w:before="120" w:after="120"/>
              <w:ind w:left="1440" w:hanging="720"/>
              <w:jc w:val="both"/>
            </w:pPr>
            <w:r w:rsidRPr="002A0976">
              <w:t>(a)</w:t>
            </w:r>
            <w:r w:rsidRPr="002A0976">
              <w:tab/>
              <w:t>one of the following:</w:t>
            </w:r>
          </w:p>
          <w:p w:rsidR="00191212" w:rsidRPr="002A0976" w:rsidRDefault="00191212" w:rsidP="009A25E0">
            <w:pPr>
              <w:spacing w:before="120" w:after="120"/>
              <w:ind w:left="2160" w:hanging="720"/>
              <w:contextualSpacing/>
              <w:jc w:val="both"/>
              <w:rPr>
                <w:b/>
              </w:rPr>
            </w:pPr>
            <w:r w:rsidRPr="002A0976">
              <w:t>(</w:t>
            </w:r>
            <w:proofErr w:type="spellStart"/>
            <w:r w:rsidRPr="002A0976">
              <w:t>i</w:t>
            </w:r>
            <w:proofErr w:type="spellEnd"/>
            <w:r w:rsidRPr="002A0976">
              <w:t>)</w:t>
            </w:r>
            <w:r w:rsidRPr="002A0976">
              <w:tab/>
              <w:t>successful completion of the following units for a Certificate IV in Building:</w:t>
            </w:r>
          </w:p>
        </w:tc>
      </w:tr>
      <w:tr w:rsidR="00191212" w:rsidRPr="002A0976" w:rsidTr="00701285">
        <w:trPr>
          <w:trHeight w:val="171"/>
        </w:trPr>
        <w:tc>
          <w:tcPr>
            <w:tcW w:w="3510" w:type="dxa"/>
            <w:shd w:val="clear" w:color="auto" w:fill="auto"/>
          </w:tcPr>
          <w:p w:rsidR="00191212" w:rsidRPr="00961325" w:rsidRDefault="00191212" w:rsidP="00230BA6">
            <w:pPr>
              <w:spacing w:before="120"/>
              <w:ind w:left="2160"/>
              <w:rPr>
                <w:rFonts w:cs="Helvetica"/>
              </w:rPr>
            </w:pPr>
            <w:r w:rsidRPr="00961325">
              <w:rPr>
                <w:rFonts w:cs="Helvetica"/>
              </w:rPr>
              <w:t>ABC001</w:t>
            </w:r>
          </w:p>
        </w:tc>
        <w:tc>
          <w:tcPr>
            <w:tcW w:w="5812" w:type="dxa"/>
            <w:gridSpan w:val="2"/>
            <w:shd w:val="clear" w:color="auto" w:fill="auto"/>
          </w:tcPr>
          <w:p w:rsidR="00191212" w:rsidRPr="00961325" w:rsidRDefault="00191212" w:rsidP="00230BA6">
            <w:pPr>
              <w:spacing w:before="120"/>
              <w:jc w:val="both"/>
              <w:rPr>
                <w:rFonts w:cs="Helvetica"/>
              </w:rPr>
            </w:pPr>
            <w:r w:rsidRPr="00961325">
              <w:rPr>
                <w:rFonts w:cs="Helvetica"/>
              </w:rPr>
              <w:t>Construction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ABC002</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Construction 2</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ABC005</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Materials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ABC061</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Builders Working Drawings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ABC064</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Building Computer Applications</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ABC069</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Cost Control and Planning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ABC076</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Building Quantities and Estimating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ABC077</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Building Quantities and Estimating 2</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ABC082</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Building Site Supervision</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ABC083</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Building Site Surveying and Set Out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ABC086</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Structures 1</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ABC091</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Business Management for Building 1A</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ABC092</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Business Management for Building 1B</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ABC102</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Residential Site Safety</w:t>
            </w:r>
          </w:p>
        </w:tc>
      </w:tr>
      <w:tr w:rsidR="00191212" w:rsidRPr="002A0976" w:rsidTr="00701285">
        <w:trPr>
          <w:trHeight w:val="160"/>
        </w:trPr>
        <w:tc>
          <w:tcPr>
            <w:tcW w:w="3510" w:type="dxa"/>
            <w:shd w:val="clear" w:color="auto" w:fill="auto"/>
          </w:tcPr>
          <w:p w:rsidR="00191212" w:rsidRPr="00961325" w:rsidRDefault="00191212" w:rsidP="009A25E0">
            <w:pPr>
              <w:spacing w:before="120"/>
              <w:ind w:left="2160"/>
              <w:rPr>
                <w:rFonts w:cs="Helvetica"/>
              </w:rPr>
            </w:pPr>
            <w:r w:rsidRPr="00961325">
              <w:rPr>
                <w:rFonts w:cs="Helvetica"/>
              </w:rPr>
              <w:t>ABC105</w:t>
            </w:r>
          </w:p>
        </w:tc>
        <w:tc>
          <w:tcPr>
            <w:tcW w:w="5812" w:type="dxa"/>
            <w:gridSpan w:val="2"/>
            <w:shd w:val="clear" w:color="auto" w:fill="auto"/>
          </w:tcPr>
          <w:p w:rsidR="00191212" w:rsidRPr="00961325" w:rsidRDefault="00191212" w:rsidP="009A25E0">
            <w:pPr>
              <w:spacing w:before="120"/>
              <w:jc w:val="both"/>
              <w:rPr>
                <w:rFonts w:cs="Helvetica"/>
              </w:rPr>
            </w:pPr>
            <w:r w:rsidRPr="00961325">
              <w:rPr>
                <w:rFonts w:cs="Helvetica"/>
              </w:rPr>
              <w:t>Timber Framing Code;</w:t>
            </w:r>
          </w:p>
        </w:tc>
      </w:tr>
      <w:tr w:rsidR="00191212" w:rsidRPr="002A0976" w:rsidTr="00701285">
        <w:trPr>
          <w:trHeight w:val="357"/>
        </w:trPr>
        <w:tc>
          <w:tcPr>
            <w:tcW w:w="9322" w:type="dxa"/>
            <w:gridSpan w:val="3"/>
            <w:shd w:val="clear" w:color="auto" w:fill="auto"/>
          </w:tcPr>
          <w:p w:rsidR="00191212" w:rsidRPr="002A0976" w:rsidRDefault="00191212" w:rsidP="00EC415A">
            <w:pPr>
              <w:spacing w:before="120" w:after="120"/>
              <w:ind w:left="2160" w:hanging="720"/>
              <w:jc w:val="both"/>
              <w:rPr>
                <w:color w:val="000000"/>
              </w:rPr>
            </w:pPr>
            <w:r w:rsidRPr="002A0976">
              <w:t>(ii)</w:t>
            </w:r>
            <w:r w:rsidRPr="002A0976">
              <w:tab/>
              <w:t>successful completion of the following units for a BCG40106 Certificate IV in Building and Construction (Building) – Low Rise and 3 elective units from the BCG03 General Construction Training Package:</w:t>
            </w:r>
          </w:p>
        </w:tc>
      </w:tr>
      <w:tr w:rsidR="00191212" w:rsidRPr="002A0976" w:rsidTr="00701285">
        <w:trPr>
          <w:trHeight w:val="52"/>
        </w:trPr>
        <w:tc>
          <w:tcPr>
            <w:tcW w:w="4077" w:type="dxa"/>
            <w:gridSpan w:val="2"/>
            <w:shd w:val="clear" w:color="auto" w:fill="auto"/>
          </w:tcPr>
          <w:p w:rsidR="00191212" w:rsidRPr="00961325" w:rsidRDefault="00191212" w:rsidP="009A25E0">
            <w:pPr>
              <w:ind w:left="2160"/>
              <w:rPr>
                <w:rFonts w:cs="Helvetica"/>
              </w:rPr>
            </w:pPr>
            <w:r w:rsidRPr="00961325">
              <w:rPr>
                <w:rFonts w:cs="Helvetica"/>
              </w:rPr>
              <w:t>BCGBC4001A</w:t>
            </w:r>
          </w:p>
        </w:tc>
        <w:tc>
          <w:tcPr>
            <w:tcW w:w="5245" w:type="dxa"/>
            <w:shd w:val="clear" w:color="auto" w:fill="auto"/>
          </w:tcPr>
          <w:p w:rsidR="00191212" w:rsidRPr="00961325" w:rsidRDefault="00191212" w:rsidP="009A25E0">
            <w:pPr>
              <w:jc w:val="both"/>
              <w:rPr>
                <w:rFonts w:cs="Helvetica"/>
              </w:rPr>
            </w:pPr>
            <w:r w:rsidRPr="00961325">
              <w:rPr>
                <w:rFonts w:cs="Helvetica"/>
              </w:rPr>
              <w:t>Apply building codes and standards to the construction process for low-rise building projects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BCGBC4002A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Manage occupational health and safety in the building and construction workplace</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BCGBC4003A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Select and prepare a construction contract</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BCGBC4004A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Identify and produce estimated costs for building and construction projects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BCGBC4005A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 xml:space="preserve">Produce </w:t>
            </w:r>
            <w:proofErr w:type="spellStart"/>
            <w:r w:rsidRPr="00961325">
              <w:rPr>
                <w:rFonts w:cs="Helvetica"/>
              </w:rPr>
              <w:t>labour</w:t>
            </w:r>
            <w:proofErr w:type="spellEnd"/>
            <w:r w:rsidRPr="00961325">
              <w:rPr>
                <w:rFonts w:cs="Helvetica"/>
              </w:rPr>
              <w:t xml:space="preserve"> and material schedules for ordering</w:t>
            </w:r>
          </w:p>
        </w:tc>
      </w:tr>
      <w:tr w:rsidR="00191212" w:rsidRPr="002A0976" w:rsidTr="00701285">
        <w:trPr>
          <w:trHeight w:val="47"/>
        </w:trPr>
        <w:tc>
          <w:tcPr>
            <w:tcW w:w="4077" w:type="dxa"/>
            <w:gridSpan w:val="2"/>
            <w:shd w:val="clear" w:color="auto" w:fill="auto"/>
          </w:tcPr>
          <w:p w:rsidR="00191212" w:rsidRPr="00961325" w:rsidRDefault="00191212" w:rsidP="00133A25">
            <w:pPr>
              <w:pageBreakBefore/>
              <w:spacing w:before="120"/>
              <w:ind w:left="2160"/>
              <w:rPr>
                <w:rFonts w:cs="Helvetica"/>
              </w:rPr>
            </w:pPr>
            <w:r w:rsidRPr="00961325">
              <w:rPr>
                <w:rFonts w:cs="Helvetica"/>
              </w:rPr>
              <w:lastRenderedPageBreak/>
              <w:t>BCGBC4006A</w:t>
            </w:r>
          </w:p>
        </w:tc>
        <w:tc>
          <w:tcPr>
            <w:tcW w:w="5245" w:type="dxa"/>
            <w:shd w:val="clear" w:color="auto" w:fill="auto"/>
          </w:tcPr>
          <w:p w:rsidR="00191212" w:rsidRPr="00961325" w:rsidRDefault="00191212" w:rsidP="00B763DE">
            <w:pPr>
              <w:keepNext/>
              <w:spacing w:before="120"/>
              <w:jc w:val="both"/>
              <w:rPr>
                <w:rFonts w:cs="Helvetica"/>
              </w:rPr>
            </w:pPr>
            <w:r w:rsidRPr="00961325">
              <w:rPr>
                <w:rFonts w:cs="Helvetica"/>
              </w:rPr>
              <w:t>Select, procure and store construction materials for low-rise projects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BCGBC4007A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Plan building or construction work</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BCGBC4008A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Conduct on-site supervision of the building and construction project</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BCGBC4009A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Apply legal requirements to building and construction projects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BCGBC4010A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Apply structural principles to residential low rise constructions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BCGBC4011A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Apply structural principles to commercial low rise constructions</w:t>
            </w:r>
          </w:p>
        </w:tc>
      </w:tr>
      <w:tr w:rsidR="00191212" w:rsidRPr="002A0976" w:rsidTr="00701285">
        <w:trPr>
          <w:trHeight w:val="47"/>
        </w:trPr>
        <w:tc>
          <w:tcPr>
            <w:tcW w:w="4077" w:type="dxa"/>
            <w:gridSpan w:val="2"/>
            <w:shd w:val="clear" w:color="auto" w:fill="auto"/>
          </w:tcPr>
          <w:p w:rsidR="00191212" w:rsidRPr="00961325" w:rsidRDefault="00191212" w:rsidP="009A25E0">
            <w:pPr>
              <w:spacing w:before="120"/>
              <w:ind w:left="2160"/>
              <w:rPr>
                <w:rFonts w:cs="Helvetica"/>
              </w:rPr>
            </w:pPr>
            <w:r w:rsidRPr="00961325">
              <w:rPr>
                <w:rFonts w:cs="Helvetica"/>
              </w:rPr>
              <w:t>BSBSBM406A</w:t>
            </w:r>
          </w:p>
        </w:tc>
        <w:tc>
          <w:tcPr>
            <w:tcW w:w="5245" w:type="dxa"/>
            <w:shd w:val="clear" w:color="auto" w:fill="auto"/>
          </w:tcPr>
          <w:p w:rsidR="00191212" w:rsidRPr="00961325" w:rsidRDefault="00191212" w:rsidP="009A25E0">
            <w:pPr>
              <w:spacing w:before="120"/>
              <w:jc w:val="both"/>
              <w:rPr>
                <w:rFonts w:cs="Helvetica"/>
              </w:rPr>
            </w:pPr>
            <w:r w:rsidRPr="00961325">
              <w:rPr>
                <w:rFonts w:cs="Helvetica"/>
              </w:rPr>
              <w:t>Manage finances;</w:t>
            </w:r>
          </w:p>
        </w:tc>
      </w:tr>
      <w:tr w:rsidR="00191212" w:rsidRPr="002A0976" w:rsidTr="00701285">
        <w:trPr>
          <w:trHeight w:val="1843"/>
        </w:trPr>
        <w:tc>
          <w:tcPr>
            <w:tcW w:w="9322" w:type="dxa"/>
            <w:gridSpan w:val="3"/>
            <w:shd w:val="clear" w:color="auto" w:fill="auto"/>
          </w:tcPr>
          <w:p w:rsidR="00191212" w:rsidRPr="002A0976" w:rsidRDefault="00191212" w:rsidP="007215C7">
            <w:pPr>
              <w:spacing w:before="120" w:after="120"/>
              <w:ind w:left="2160" w:hanging="720"/>
              <w:jc w:val="both"/>
            </w:pPr>
            <w:r w:rsidRPr="002A0976">
              <w:t>(iii)</w:t>
            </w:r>
            <w:r w:rsidRPr="002A0976">
              <w:tab/>
              <w:t>successful completion of a course, or units of a course, that in the opinion of the Practitioners Board is at least equivalent to the satisfaction of the requirements in subparagraph (</w:t>
            </w:r>
            <w:proofErr w:type="spellStart"/>
            <w:r w:rsidRPr="002A0976">
              <w:t>i</w:t>
            </w:r>
            <w:proofErr w:type="spellEnd"/>
            <w:r w:rsidRPr="002A0976">
              <w:t>) or (ii);</w:t>
            </w:r>
          </w:p>
          <w:p w:rsidR="00191212" w:rsidRPr="002A0976" w:rsidRDefault="00191212" w:rsidP="007215C7">
            <w:pPr>
              <w:spacing w:before="120" w:after="120"/>
              <w:ind w:left="2160" w:hanging="720"/>
              <w:jc w:val="both"/>
            </w:pPr>
            <w:r w:rsidRPr="002A0976">
              <w:t>(iv)</w:t>
            </w:r>
            <w:r w:rsidRPr="002A0976">
              <w:tab/>
              <w:t>a statement of attainment of competency equivalent to the satisfaction of the requirements in subparagraph (</w:t>
            </w:r>
            <w:proofErr w:type="spellStart"/>
            <w:r w:rsidRPr="002A0976">
              <w:t>i</w:t>
            </w:r>
            <w:proofErr w:type="spellEnd"/>
            <w:r w:rsidRPr="002A0976">
              <w:t xml:space="preserve">) or (ii) issued by a registered training </w:t>
            </w:r>
            <w:proofErr w:type="spellStart"/>
            <w:r w:rsidRPr="002A0976">
              <w:t>organisation</w:t>
            </w:r>
            <w:proofErr w:type="spellEnd"/>
            <w:r w:rsidRPr="002A0976">
              <w:t xml:space="preserve"> as defined in the </w:t>
            </w:r>
            <w:r w:rsidRPr="009008D3">
              <w:rPr>
                <w:i/>
              </w:rPr>
              <w:t>Training</w:t>
            </w:r>
            <w:r w:rsidR="00701285">
              <w:rPr>
                <w:i/>
              </w:rPr>
              <w:t> </w:t>
            </w:r>
            <w:r w:rsidRPr="009008D3">
              <w:rPr>
                <w:i/>
              </w:rPr>
              <w:t>and Skills Development Act</w:t>
            </w:r>
            <w:r w:rsidRPr="002A0976">
              <w:t>; and</w:t>
            </w:r>
          </w:p>
          <w:p w:rsidR="00191212" w:rsidRPr="002A0976" w:rsidRDefault="00191212" w:rsidP="007215C7">
            <w:pPr>
              <w:spacing w:before="120" w:after="120"/>
              <w:ind w:left="1440" w:hanging="720"/>
              <w:jc w:val="both"/>
              <w:rPr>
                <w:b/>
              </w:rPr>
            </w:pPr>
            <w:r w:rsidRPr="002A0976">
              <w:t>(b)</w:t>
            </w:r>
            <w:r w:rsidRPr="002A0976">
              <w:tab/>
              <w:t xml:space="preserve">at least 3 years practical experience in carrying out building work for which a building contractor residential (restricted) is a prescribed building contractor under regulation 41B(1) of the </w:t>
            </w:r>
            <w:r w:rsidRPr="002A0976">
              <w:rPr>
                <w:i/>
              </w:rPr>
              <w:t>Building Regulations</w:t>
            </w:r>
            <w:r w:rsidRPr="002A0976">
              <w:t>.</w:t>
            </w:r>
          </w:p>
        </w:tc>
      </w:tr>
      <w:tr w:rsidR="00191212" w:rsidRPr="002A0976" w:rsidTr="00701285">
        <w:trPr>
          <w:trHeight w:val="473"/>
        </w:trPr>
        <w:tc>
          <w:tcPr>
            <w:tcW w:w="9322" w:type="dxa"/>
            <w:gridSpan w:val="3"/>
            <w:shd w:val="clear" w:color="auto" w:fill="auto"/>
          </w:tcPr>
          <w:p w:rsidR="00191212" w:rsidRPr="002A0976" w:rsidRDefault="00191212" w:rsidP="005E7C6E">
            <w:pPr>
              <w:spacing w:before="120" w:after="120"/>
              <w:jc w:val="both"/>
              <w:rPr>
                <w:b/>
              </w:rPr>
            </w:pPr>
            <w:r w:rsidRPr="002A0976">
              <w:rPr>
                <w:b/>
              </w:rPr>
              <w:t>2</w:t>
            </w:r>
            <w:r w:rsidRPr="002A0976">
              <w:rPr>
                <w:b/>
              </w:rPr>
              <w:tab/>
              <w:t>Building contractor residential (unrestricted)</w:t>
            </w:r>
          </w:p>
          <w:p w:rsidR="00191212" w:rsidRPr="002A0976" w:rsidRDefault="00191212" w:rsidP="007215C7">
            <w:pPr>
              <w:spacing w:before="120" w:after="120"/>
              <w:ind w:left="720" w:hanging="720"/>
              <w:jc w:val="both"/>
            </w:pPr>
            <w:r w:rsidRPr="002A0976">
              <w:t>(1)</w:t>
            </w:r>
            <w:r w:rsidRPr="002A0976">
              <w:tab/>
              <w:t>The qualifications and experience for registration in the category of building contractor residential (unrestricted) are:</w:t>
            </w:r>
          </w:p>
          <w:p w:rsidR="00191212" w:rsidRPr="002A0976" w:rsidRDefault="00191212" w:rsidP="005E7C6E">
            <w:pPr>
              <w:spacing w:before="120" w:after="120"/>
              <w:ind w:left="1440" w:hanging="720"/>
              <w:jc w:val="both"/>
            </w:pPr>
            <w:r w:rsidRPr="002A0976">
              <w:t>(a)</w:t>
            </w:r>
            <w:r w:rsidRPr="002A0976">
              <w:tab/>
              <w:t>the qualifications specified in clause 1(a); and</w:t>
            </w:r>
          </w:p>
          <w:p w:rsidR="00191212" w:rsidRPr="002A0976" w:rsidRDefault="00191212" w:rsidP="005E7C6E">
            <w:pPr>
              <w:spacing w:before="120" w:after="120"/>
              <w:ind w:left="1440" w:hanging="720"/>
              <w:jc w:val="both"/>
            </w:pPr>
            <w:r w:rsidRPr="002A0976">
              <w:t>(b)</w:t>
            </w:r>
            <w:r w:rsidRPr="002A0976">
              <w:tab/>
              <w:t xml:space="preserve">at least 3 years practical experience in carrying out building work for which a building contractor residential (unrestricted) is a prescribed building contractor under regulation 41C(1) of the </w:t>
            </w:r>
            <w:r w:rsidRPr="002A0976">
              <w:rPr>
                <w:i/>
              </w:rPr>
              <w:t>Building Regulations</w:t>
            </w:r>
            <w:r w:rsidRPr="002A0976">
              <w:t>.</w:t>
            </w:r>
          </w:p>
          <w:p w:rsidR="00191212" w:rsidRPr="002A0976" w:rsidRDefault="00191212" w:rsidP="005E7C6E">
            <w:pPr>
              <w:spacing w:before="120" w:after="120"/>
              <w:ind w:left="720" w:hanging="720"/>
              <w:jc w:val="both"/>
            </w:pPr>
            <w:r w:rsidRPr="002A0976">
              <w:t>(2)</w:t>
            </w:r>
            <w:r w:rsidRPr="002A0976">
              <w:tab/>
              <w:t xml:space="preserve">However, if the applicant for registration in the category of building contractor residential (unrestricted) is currently registered as a building practitioner in the category of building contractor residential (restricted), the applicant has the qualifications and experience for registration if </w:t>
            </w:r>
            <w:r>
              <w:t>the applicant</w:t>
            </w:r>
            <w:r w:rsidRPr="002A0976">
              <w:t xml:space="preserve"> can satisfy the requirements of </w:t>
            </w:r>
            <w:proofErr w:type="spellStart"/>
            <w:r w:rsidRPr="002A0976">
              <w:t>subclauses</w:t>
            </w:r>
            <w:proofErr w:type="spellEnd"/>
            <w:r w:rsidRPr="002A0976">
              <w:t xml:space="preserve"> (3) to (6).</w:t>
            </w:r>
          </w:p>
          <w:p w:rsidR="00191212" w:rsidRPr="002A0976" w:rsidRDefault="00191212" w:rsidP="005E7C6E">
            <w:pPr>
              <w:spacing w:before="120" w:after="120"/>
              <w:ind w:left="720" w:hanging="720"/>
              <w:jc w:val="both"/>
            </w:pPr>
            <w:r w:rsidRPr="002A0976">
              <w:t>(3)</w:t>
            </w:r>
            <w:r w:rsidRPr="002A0976">
              <w:tab/>
              <w:t>The applicant must demonstrate that, under the supervision of a registered building contractor residential (unrestricted), the applicant has had substantial personal involvement in, and responsibility for, the design and construction of at least one building:</w:t>
            </w:r>
          </w:p>
          <w:p w:rsidR="00191212" w:rsidRPr="002A0976" w:rsidRDefault="00191212" w:rsidP="005E7C6E">
            <w:pPr>
              <w:spacing w:before="120" w:after="120"/>
              <w:ind w:left="1440" w:hanging="720"/>
              <w:jc w:val="both"/>
            </w:pPr>
            <w:r w:rsidRPr="002A0976">
              <w:t>(a)</w:t>
            </w:r>
            <w:r w:rsidRPr="002A0976">
              <w:tab/>
              <w:t>that involved carrying out relevant (unrestricted) building work; and</w:t>
            </w:r>
          </w:p>
          <w:p w:rsidR="00191212" w:rsidRPr="002A0976" w:rsidRDefault="00191212" w:rsidP="00614EAB">
            <w:pPr>
              <w:spacing w:before="120" w:after="120"/>
              <w:ind w:left="1440" w:hanging="720"/>
              <w:jc w:val="both"/>
            </w:pPr>
            <w:r w:rsidRPr="002A0976">
              <w:t>(b)</w:t>
            </w:r>
            <w:r w:rsidRPr="002A0976">
              <w:tab/>
              <w:t>for which an occupancy permit has been granted.</w:t>
            </w:r>
          </w:p>
          <w:p w:rsidR="00191212" w:rsidRPr="002A0976" w:rsidRDefault="00191212" w:rsidP="00133A25">
            <w:pPr>
              <w:keepLines/>
              <w:tabs>
                <w:tab w:val="left" w:pos="709"/>
              </w:tabs>
              <w:spacing w:before="120" w:after="120"/>
              <w:ind w:left="720" w:hanging="720"/>
              <w:jc w:val="both"/>
            </w:pPr>
            <w:r w:rsidRPr="002A0976">
              <w:t>(4)</w:t>
            </w:r>
            <w:r w:rsidRPr="002A0976">
              <w:tab/>
              <w:t xml:space="preserve">For </w:t>
            </w:r>
            <w:proofErr w:type="spellStart"/>
            <w:r w:rsidRPr="002A0976">
              <w:t>subclause</w:t>
            </w:r>
            <w:proofErr w:type="spellEnd"/>
            <w:r w:rsidRPr="002A0976">
              <w:t xml:space="preserve"> (3), the applicant's level of involvement and responsibility must be confirmed in writing by the registered building contractor residential </w:t>
            </w:r>
            <w:r w:rsidRPr="002A0976">
              <w:lastRenderedPageBreak/>
              <w:t>(unrestricted) who supervised the building work.</w:t>
            </w:r>
          </w:p>
          <w:p w:rsidR="00191212" w:rsidRPr="002A0976" w:rsidRDefault="00191212" w:rsidP="009A25E0">
            <w:pPr>
              <w:tabs>
                <w:tab w:val="left" w:pos="709"/>
              </w:tabs>
              <w:spacing w:after="120"/>
              <w:ind w:left="720" w:hanging="720"/>
              <w:jc w:val="both"/>
            </w:pPr>
            <w:r w:rsidRPr="002A0976">
              <w:t>(5)</w:t>
            </w:r>
            <w:r w:rsidRPr="002A0976">
              <w:tab/>
              <w:t xml:space="preserve">The applicant must provide at least 3 independent references in relation to the applicant's knowledge and understanding of </w:t>
            </w:r>
            <w:proofErr w:type="spellStart"/>
            <w:r w:rsidRPr="002A0976">
              <w:t>multistorey</w:t>
            </w:r>
            <w:proofErr w:type="spellEnd"/>
            <w:r w:rsidRPr="002A0976">
              <w:t xml:space="preserve"> construction, including, as a minimum, references from the project architect/designer, the structural engineer and the building certifier who were directly involved in the construction phase of the project.</w:t>
            </w:r>
          </w:p>
          <w:p w:rsidR="00191212" w:rsidRDefault="00191212" w:rsidP="009A25E0">
            <w:pPr>
              <w:tabs>
                <w:tab w:val="left" w:pos="709"/>
              </w:tabs>
              <w:spacing w:after="120"/>
              <w:ind w:left="720" w:hanging="720"/>
              <w:jc w:val="both"/>
            </w:pPr>
            <w:r w:rsidRPr="002A0976">
              <w:t>(6)</w:t>
            </w:r>
            <w:r w:rsidRPr="002A0976">
              <w:tab/>
              <w:t xml:space="preserve">The applicant must demonstrate to the satisfaction of the Practitioners Board that the applicant has a comprehensive working knowledge and understanding of the regulatory and technical issues associated with the construction of buildings of more than 2 </w:t>
            </w:r>
            <w:proofErr w:type="spellStart"/>
            <w:r w:rsidRPr="002A0976">
              <w:t>storeys</w:t>
            </w:r>
            <w:proofErr w:type="spellEnd"/>
            <w:r w:rsidRPr="002A0976">
              <w:t>, including the relevant requirements of the Buildin</w:t>
            </w:r>
            <w:r>
              <w:t>g Code as defined in regulation </w:t>
            </w:r>
            <w:r w:rsidRPr="002A0976">
              <w:t xml:space="preserve">2(1) of the </w:t>
            </w:r>
            <w:r w:rsidRPr="002A0976">
              <w:rPr>
                <w:i/>
              </w:rPr>
              <w:t>Building Regulations</w:t>
            </w:r>
            <w:r w:rsidRPr="002A0976">
              <w:t xml:space="preserve"> (</w:t>
            </w:r>
            <w:r w:rsidR="009B35D5">
              <w:t>the </w:t>
            </w:r>
            <w:r w:rsidRPr="002A0976">
              <w:rPr>
                <w:b/>
                <w:i/>
              </w:rPr>
              <w:t>Code</w:t>
            </w:r>
            <w:r w:rsidRPr="002A0976">
              <w:t>).</w:t>
            </w:r>
          </w:p>
          <w:p w:rsidR="00191212" w:rsidRPr="002A0976" w:rsidRDefault="00191212" w:rsidP="009A25E0">
            <w:pPr>
              <w:tabs>
                <w:tab w:val="left" w:pos="709"/>
              </w:tabs>
              <w:spacing w:after="120"/>
              <w:ind w:left="720" w:hanging="720"/>
              <w:jc w:val="both"/>
            </w:pPr>
            <w:r w:rsidRPr="002A0976">
              <w:t>(7)</w:t>
            </w:r>
            <w:r w:rsidRPr="002A0976">
              <w:tab/>
              <w:t xml:space="preserve">A reference in </w:t>
            </w:r>
            <w:proofErr w:type="spellStart"/>
            <w:r w:rsidRPr="002A0976">
              <w:t>subclause</w:t>
            </w:r>
            <w:proofErr w:type="spellEnd"/>
            <w:r w:rsidRPr="002A0976">
              <w:t xml:space="preserve"> (3) to a substantial personal involvement in, and responsibility for, the design and construction of a building is a reference to a level of involvement and </w:t>
            </w:r>
            <w:r>
              <w:t>responsibility that precludes 2 </w:t>
            </w:r>
            <w:r w:rsidRPr="002A0976">
              <w:t>persons being able to demonstrate that level of involvement and responsibility for the same building.</w:t>
            </w:r>
          </w:p>
        </w:tc>
      </w:tr>
      <w:tr w:rsidR="00191212" w:rsidRPr="002A0976" w:rsidTr="00701285">
        <w:trPr>
          <w:trHeight w:val="473"/>
        </w:trPr>
        <w:tc>
          <w:tcPr>
            <w:tcW w:w="9322" w:type="dxa"/>
            <w:gridSpan w:val="3"/>
            <w:shd w:val="clear" w:color="auto" w:fill="auto"/>
          </w:tcPr>
          <w:p w:rsidR="00191212" w:rsidRPr="002A0976" w:rsidRDefault="00191212" w:rsidP="00614EAB">
            <w:pPr>
              <w:spacing w:before="120" w:after="120"/>
              <w:jc w:val="both"/>
              <w:rPr>
                <w:b/>
              </w:rPr>
            </w:pPr>
            <w:r w:rsidRPr="002A0976">
              <w:rPr>
                <w:b/>
              </w:rPr>
              <w:lastRenderedPageBreak/>
              <w:t>3</w:t>
            </w:r>
            <w:r w:rsidRPr="002A0976">
              <w:rPr>
                <w:b/>
              </w:rPr>
              <w:tab/>
              <w:t>Building certifier (residential)</w:t>
            </w:r>
          </w:p>
          <w:p w:rsidR="00191212" w:rsidRPr="002A0976" w:rsidRDefault="00191212" w:rsidP="00614EAB">
            <w:pPr>
              <w:spacing w:before="120" w:after="120"/>
              <w:ind w:left="720"/>
              <w:jc w:val="both"/>
            </w:pPr>
            <w:r w:rsidRPr="002A0976">
              <w:t>The qualifications and experience for registration in the category of building certifier (residential) are:</w:t>
            </w:r>
          </w:p>
          <w:p w:rsidR="00191212" w:rsidRPr="002A0976" w:rsidRDefault="00191212" w:rsidP="00614EAB">
            <w:pPr>
              <w:spacing w:before="120" w:after="120"/>
              <w:ind w:left="1440" w:hanging="720"/>
              <w:jc w:val="both"/>
            </w:pPr>
            <w:r w:rsidRPr="002A0976">
              <w:t>(a)</w:t>
            </w:r>
            <w:r w:rsidRPr="002A0976">
              <w:tab/>
              <w:t>a degree or other educational qualification required for accreditation as a building surveyor by the Australian Institute of Building Surveyors; and</w:t>
            </w:r>
          </w:p>
          <w:p w:rsidR="00191212" w:rsidRPr="002A0976" w:rsidRDefault="00191212" w:rsidP="009A25E0">
            <w:pPr>
              <w:spacing w:before="120" w:after="120"/>
              <w:ind w:left="1440" w:hanging="720"/>
              <w:contextualSpacing/>
              <w:jc w:val="both"/>
            </w:pPr>
            <w:r w:rsidRPr="002A0976">
              <w:t>(b)</w:t>
            </w:r>
            <w:r w:rsidRPr="002A0976">
              <w:tab/>
              <w:t>at least 3 years practical experience in building surveying of buildings of Classes 1 and 10 as specified under the classification under Part A3.2 of the Code.</w:t>
            </w:r>
          </w:p>
        </w:tc>
      </w:tr>
      <w:tr w:rsidR="00191212" w:rsidRPr="002A0976" w:rsidTr="00701285">
        <w:trPr>
          <w:trHeight w:val="473"/>
        </w:trPr>
        <w:tc>
          <w:tcPr>
            <w:tcW w:w="9322" w:type="dxa"/>
            <w:gridSpan w:val="3"/>
            <w:shd w:val="clear" w:color="auto" w:fill="auto"/>
          </w:tcPr>
          <w:p w:rsidR="00191212" w:rsidRPr="002A0976" w:rsidRDefault="00191212" w:rsidP="00230BA6">
            <w:pPr>
              <w:spacing w:before="120" w:after="120"/>
              <w:jc w:val="both"/>
              <w:rPr>
                <w:b/>
              </w:rPr>
            </w:pPr>
            <w:r w:rsidRPr="002A0976">
              <w:rPr>
                <w:b/>
              </w:rPr>
              <w:t>4</w:t>
            </w:r>
            <w:r w:rsidRPr="002A0976">
              <w:rPr>
                <w:b/>
              </w:rPr>
              <w:tab/>
              <w:t>Building certifier (unrestricted)</w:t>
            </w:r>
          </w:p>
          <w:p w:rsidR="00191212" w:rsidRPr="002A0976" w:rsidRDefault="00191212" w:rsidP="00614EAB">
            <w:pPr>
              <w:spacing w:before="120" w:after="120"/>
              <w:ind w:left="720"/>
              <w:jc w:val="both"/>
            </w:pPr>
            <w:r w:rsidRPr="002A0976">
              <w:t>The qualifications and experience for registration in the category of building certifier (unrestricted) are:</w:t>
            </w:r>
          </w:p>
          <w:p w:rsidR="00191212" w:rsidRPr="002A0976" w:rsidRDefault="00191212" w:rsidP="00614EAB">
            <w:pPr>
              <w:spacing w:before="120" w:after="120"/>
              <w:ind w:left="1440" w:hanging="720"/>
              <w:jc w:val="both"/>
            </w:pPr>
            <w:r w:rsidRPr="002A0976">
              <w:t>(a)</w:t>
            </w:r>
            <w:r w:rsidRPr="002A0976">
              <w:tab/>
              <w:t>a degree or other educational qualification required for accreditation as a building surveyor by the Australian Institute of Building Surveyors; and</w:t>
            </w:r>
          </w:p>
          <w:p w:rsidR="00191212" w:rsidRPr="002A0976" w:rsidRDefault="00191212" w:rsidP="009A25E0">
            <w:pPr>
              <w:spacing w:before="120" w:after="120"/>
              <w:ind w:left="1440" w:hanging="720"/>
              <w:contextualSpacing/>
              <w:jc w:val="both"/>
            </w:pPr>
            <w:r w:rsidRPr="002A0976">
              <w:t>(b)</w:t>
            </w:r>
            <w:r w:rsidRPr="002A0976">
              <w:tab/>
              <w:t>at least 4 years practical experience in building surveying of buildings of Classes 1 to 10 as specified under the classification under Part A3.2 of the Code.</w:t>
            </w:r>
          </w:p>
        </w:tc>
      </w:tr>
      <w:tr w:rsidR="00191212" w:rsidRPr="002A0976" w:rsidTr="00701285">
        <w:trPr>
          <w:trHeight w:val="473"/>
        </w:trPr>
        <w:tc>
          <w:tcPr>
            <w:tcW w:w="9322" w:type="dxa"/>
            <w:gridSpan w:val="3"/>
            <w:shd w:val="clear" w:color="auto" w:fill="auto"/>
          </w:tcPr>
          <w:p w:rsidR="00191212" w:rsidRPr="002A0976" w:rsidRDefault="00191212" w:rsidP="00735D17">
            <w:pPr>
              <w:spacing w:before="120" w:after="120"/>
              <w:jc w:val="both"/>
              <w:rPr>
                <w:b/>
              </w:rPr>
            </w:pPr>
            <w:r w:rsidRPr="002A0976">
              <w:rPr>
                <w:b/>
              </w:rPr>
              <w:t>5</w:t>
            </w:r>
            <w:r w:rsidRPr="002A0976">
              <w:rPr>
                <w:b/>
              </w:rPr>
              <w:tab/>
              <w:t>Certifying architect</w:t>
            </w:r>
          </w:p>
          <w:p w:rsidR="00191212" w:rsidRPr="002A0976" w:rsidRDefault="00191212" w:rsidP="00735D17">
            <w:pPr>
              <w:spacing w:before="120" w:after="120"/>
              <w:ind w:left="720"/>
              <w:jc w:val="both"/>
            </w:pPr>
            <w:r w:rsidRPr="002A0976">
              <w:t>The qualifications and experience for registration in the category of certifying architect are:</w:t>
            </w:r>
          </w:p>
          <w:p w:rsidR="00191212" w:rsidRPr="002A0976" w:rsidRDefault="00191212" w:rsidP="00735D17">
            <w:pPr>
              <w:spacing w:before="120" w:after="120"/>
              <w:ind w:left="1440" w:hanging="720"/>
              <w:jc w:val="both"/>
            </w:pPr>
            <w:r w:rsidRPr="002A0976">
              <w:t>(a)</w:t>
            </w:r>
            <w:r w:rsidRPr="002A0976">
              <w:tab/>
              <w:t xml:space="preserve">registration as an architect under the </w:t>
            </w:r>
            <w:r w:rsidRPr="00DE2802">
              <w:rPr>
                <w:i/>
              </w:rPr>
              <w:t>Architects Act</w:t>
            </w:r>
            <w:r w:rsidRPr="002A0976">
              <w:t>; and</w:t>
            </w:r>
          </w:p>
          <w:p w:rsidR="00191212" w:rsidRPr="002A0976" w:rsidRDefault="00191212" w:rsidP="009A25E0">
            <w:pPr>
              <w:spacing w:before="120" w:after="120"/>
              <w:ind w:left="1440" w:hanging="720"/>
              <w:contextualSpacing/>
              <w:jc w:val="both"/>
              <w:rPr>
                <w:b/>
              </w:rPr>
            </w:pPr>
            <w:r w:rsidRPr="002A0976">
              <w:t>(b)</w:t>
            </w:r>
            <w:r w:rsidRPr="002A0976">
              <w:tab/>
              <w:t>at least 4 years practical experience in building surveying of buildings of Classes 1 to 10 as specified under the classification under Part A3.2 of the Code.</w:t>
            </w:r>
          </w:p>
        </w:tc>
      </w:tr>
      <w:tr w:rsidR="00191212" w:rsidRPr="002A0976" w:rsidTr="00701285">
        <w:trPr>
          <w:trHeight w:val="473"/>
        </w:trPr>
        <w:tc>
          <w:tcPr>
            <w:tcW w:w="9322" w:type="dxa"/>
            <w:gridSpan w:val="3"/>
            <w:shd w:val="clear" w:color="auto" w:fill="auto"/>
          </w:tcPr>
          <w:p w:rsidR="00191212" w:rsidRPr="002A0976" w:rsidRDefault="00191212" w:rsidP="00735D17">
            <w:pPr>
              <w:keepNext/>
              <w:spacing w:before="120" w:after="120"/>
              <w:jc w:val="both"/>
              <w:rPr>
                <w:b/>
              </w:rPr>
            </w:pPr>
            <w:r w:rsidRPr="002A0976">
              <w:rPr>
                <w:b/>
              </w:rPr>
              <w:lastRenderedPageBreak/>
              <w:t>6</w:t>
            </w:r>
            <w:r w:rsidRPr="002A0976">
              <w:rPr>
                <w:b/>
              </w:rPr>
              <w:tab/>
              <w:t>Certifying plumber and drainer</w:t>
            </w:r>
          </w:p>
          <w:p w:rsidR="00191212" w:rsidRPr="002A0976" w:rsidRDefault="00191212" w:rsidP="009A25E0">
            <w:pPr>
              <w:spacing w:before="120" w:after="120"/>
              <w:ind w:left="720"/>
              <w:contextualSpacing/>
              <w:jc w:val="both"/>
            </w:pPr>
            <w:r w:rsidRPr="002A0976">
              <w:t xml:space="preserve">The qualification for registration in the category of certifying plumber and drainer is a </w:t>
            </w:r>
            <w:proofErr w:type="spellStart"/>
            <w:r w:rsidRPr="002A0976">
              <w:t>licence</w:t>
            </w:r>
            <w:proofErr w:type="spellEnd"/>
            <w:r w:rsidRPr="002A0976">
              <w:t xml:space="preserve"> as an advanced tradesman in the trades of plumbing and draining issued under the </w:t>
            </w:r>
            <w:r w:rsidRPr="002A0976">
              <w:rPr>
                <w:i/>
              </w:rPr>
              <w:t>Plumbers and Drainers Licensing Act</w:t>
            </w:r>
            <w:r w:rsidRPr="002A0976">
              <w:t>.</w:t>
            </w:r>
          </w:p>
        </w:tc>
      </w:tr>
      <w:tr w:rsidR="00191212" w:rsidRPr="002A0976" w:rsidTr="00701285">
        <w:trPr>
          <w:trHeight w:val="473"/>
        </w:trPr>
        <w:tc>
          <w:tcPr>
            <w:tcW w:w="9322" w:type="dxa"/>
            <w:gridSpan w:val="3"/>
            <w:shd w:val="clear" w:color="auto" w:fill="auto"/>
          </w:tcPr>
          <w:p w:rsidR="00191212" w:rsidRPr="002A0976" w:rsidRDefault="00191212" w:rsidP="00735D17">
            <w:pPr>
              <w:spacing w:before="120" w:after="120"/>
              <w:jc w:val="both"/>
              <w:rPr>
                <w:b/>
              </w:rPr>
            </w:pPr>
            <w:r w:rsidRPr="002A0976">
              <w:rPr>
                <w:b/>
              </w:rPr>
              <w:t>7</w:t>
            </w:r>
            <w:r w:rsidRPr="002A0976">
              <w:rPr>
                <w:b/>
              </w:rPr>
              <w:tab/>
              <w:t>Certifying plumber and drainer (design)</w:t>
            </w:r>
          </w:p>
          <w:p w:rsidR="00191212" w:rsidRPr="002A0976" w:rsidRDefault="00191212" w:rsidP="009A25E0">
            <w:pPr>
              <w:spacing w:before="120" w:after="120"/>
              <w:ind w:left="720"/>
              <w:contextualSpacing/>
              <w:jc w:val="both"/>
            </w:pPr>
            <w:r w:rsidRPr="002A0976">
              <w:t>The experience for registration in the category of certifying plumber and drainer (design) is at least 5 years practical experience in the design of plumbing and drainage systems and on-site sewage disposal systems.</w:t>
            </w:r>
          </w:p>
        </w:tc>
      </w:tr>
      <w:tr w:rsidR="00191212" w:rsidRPr="002A0976" w:rsidTr="00701285">
        <w:trPr>
          <w:trHeight w:val="473"/>
        </w:trPr>
        <w:tc>
          <w:tcPr>
            <w:tcW w:w="9322" w:type="dxa"/>
            <w:gridSpan w:val="3"/>
            <w:shd w:val="clear" w:color="auto" w:fill="auto"/>
          </w:tcPr>
          <w:p w:rsidR="00191212" w:rsidRPr="002A0976" w:rsidRDefault="00191212" w:rsidP="00735D17">
            <w:pPr>
              <w:spacing w:before="120" w:after="120"/>
              <w:jc w:val="both"/>
              <w:rPr>
                <w:b/>
              </w:rPr>
            </w:pPr>
            <w:r w:rsidRPr="002A0976">
              <w:rPr>
                <w:b/>
              </w:rPr>
              <w:t>8</w:t>
            </w:r>
            <w:r w:rsidRPr="002A0976">
              <w:rPr>
                <w:b/>
              </w:rPr>
              <w:tab/>
              <w:t>Certifying engineer (structural)</w:t>
            </w:r>
          </w:p>
          <w:p w:rsidR="00191212" w:rsidRDefault="00191212" w:rsidP="00735D17">
            <w:pPr>
              <w:spacing w:before="120" w:after="120"/>
              <w:ind w:left="720"/>
              <w:jc w:val="both"/>
            </w:pPr>
            <w:r w:rsidRPr="002A0976">
              <w:t>The qualifications and experience for registration in the category of certifying engineer (structural) are:</w:t>
            </w:r>
          </w:p>
          <w:p w:rsidR="00191212" w:rsidRDefault="00191212" w:rsidP="00735D17">
            <w:pPr>
              <w:spacing w:before="120" w:after="120"/>
              <w:ind w:left="1440" w:hanging="720"/>
              <w:jc w:val="both"/>
            </w:pPr>
            <w:r>
              <w:t>(a)</w:t>
            </w:r>
            <w:r>
              <w:tab/>
            </w:r>
            <w:r w:rsidRPr="002A0976">
              <w:t>a degree or other educational qualification required for membership of Engineers Australia as a professional engineer eligible to use the post-</w:t>
            </w:r>
            <w:proofErr w:type="spellStart"/>
            <w:r w:rsidRPr="002A0976">
              <w:t>n</w:t>
            </w:r>
            <w:r>
              <w:t>ominals</w:t>
            </w:r>
            <w:proofErr w:type="spellEnd"/>
            <w:r>
              <w:t xml:space="preserve"> "</w:t>
            </w:r>
            <w:proofErr w:type="spellStart"/>
            <w:r>
              <w:t>MIEAust</w:t>
            </w:r>
            <w:proofErr w:type="spellEnd"/>
            <w:r>
              <w:t>" and at least 3 </w:t>
            </w:r>
            <w:r w:rsidRPr="002A0976">
              <w:t>years practical experience in the design and supervision of the construction of structural engineering works for buildings, including:</w:t>
            </w:r>
          </w:p>
          <w:p w:rsidR="00191212" w:rsidRPr="002A0976" w:rsidRDefault="00191212" w:rsidP="00E11C92">
            <w:pPr>
              <w:spacing w:before="120" w:after="120"/>
              <w:ind w:left="2160" w:hanging="720"/>
              <w:jc w:val="both"/>
              <w:rPr>
                <w:color w:val="000000"/>
              </w:rPr>
            </w:pPr>
            <w:r w:rsidRPr="002A0976">
              <w:t>(</w:t>
            </w:r>
            <w:proofErr w:type="spellStart"/>
            <w:r w:rsidRPr="002A0976">
              <w:t>i</w:t>
            </w:r>
            <w:proofErr w:type="spellEnd"/>
            <w:r w:rsidRPr="002A0976">
              <w:t>)</w:t>
            </w:r>
            <w:r w:rsidRPr="002A0976">
              <w:tab/>
              <w:t>at least 12 months practical experience in the design of structural engineering works for buildings; and</w:t>
            </w:r>
          </w:p>
          <w:p w:rsidR="00191212" w:rsidRDefault="00191212" w:rsidP="00E11C92">
            <w:pPr>
              <w:spacing w:before="120" w:after="120"/>
              <w:ind w:left="2160" w:hanging="720"/>
              <w:jc w:val="both"/>
            </w:pPr>
            <w:r w:rsidRPr="002A0976">
              <w:t>(ii)</w:t>
            </w:r>
            <w:r w:rsidRPr="002A0976">
              <w:tab/>
              <w:t xml:space="preserve">at least 12 months practical experience in the supervision of the construction of structural </w:t>
            </w:r>
            <w:r>
              <w:t>engineering works for buildings; or</w:t>
            </w:r>
          </w:p>
          <w:p w:rsidR="00191212" w:rsidRPr="002A0976" w:rsidRDefault="00191212" w:rsidP="00735D17">
            <w:pPr>
              <w:spacing w:before="120" w:after="120"/>
              <w:ind w:left="1440" w:hanging="720"/>
              <w:jc w:val="both"/>
            </w:pPr>
            <w:r>
              <w:t>(b)</w:t>
            </w:r>
            <w:r>
              <w:tab/>
            </w:r>
            <w:r w:rsidRPr="002A0976">
              <w:t>a certificate of registration as a structural engineer on the National Engineer</w:t>
            </w:r>
            <w:r>
              <w:t>ing</w:t>
            </w:r>
            <w:r w:rsidRPr="002A0976">
              <w:t xml:space="preserve"> Register (the </w:t>
            </w:r>
            <w:r w:rsidRPr="00850385">
              <w:rPr>
                <w:b/>
                <w:i/>
              </w:rPr>
              <w:t>NER</w:t>
            </w:r>
            <w:r>
              <w:t>).</w:t>
            </w:r>
          </w:p>
        </w:tc>
      </w:tr>
      <w:tr w:rsidR="00191212" w:rsidRPr="002A0976" w:rsidTr="00701285">
        <w:trPr>
          <w:trHeight w:val="473"/>
        </w:trPr>
        <w:tc>
          <w:tcPr>
            <w:tcW w:w="9322" w:type="dxa"/>
            <w:gridSpan w:val="3"/>
            <w:shd w:val="clear" w:color="auto" w:fill="auto"/>
          </w:tcPr>
          <w:p w:rsidR="00191212" w:rsidRPr="002A0976" w:rsidRDefault="00191212" w:rsidP="00E11C92">
            <w:pPr>
              <w:spacing w:before="120" w:after="120"/>
              <w:jc w:val="both"/>
              <w:rPr>
                <w:b/>
              </w:rPr>
            </w:pPr>
            <w:r w:rsidRPr="002A0976">
              <w:rPr>
                <w:b/>
              </w:rPr>
              <w:t>9</w:t>
            </w:r>
            <w:r w:rsidRPr="002A0976">
              <w:rPr>
                <w:b/>
              </w:rPr>
              <w:tab/>
              <w:t>Certifying engineer (hydraulic)</w:t>
            </w:r>
          </w:p>
          <w:p w:rsidR="00191212" w:rsidRPr="002A0976" w:rsidRDefault="00191212" w:rsidP="00E11C92">
            <w:pPr>
              <w:spacing w:before="120" w:after="120"/>
              <w:ind w:left="720"/>
              <w:jc w:val="both"/>
            </w:pPr>
            <w:r w:rsidRPr="002A0976">
              <w:t>The qualifications and experience for registration in the category of certifying engineer (</w:t>
            </w:r>
            <w:r w:rsidRPr="00C446B7">
              <w:t>hydraulic</w:t>
            </w:r>
            <w:r w:rsidRPr="002A0976">
              <w:t>) are:</w:t>
            </w:r>
          </w:p>
          <w:p w:rsidR="00191212" w:rsidRDefault="00191212" w:rsidP="00E11C92">
            <w:pPr>
              <w:spacing w:before="120" w:after="120"/>
              <w:ind w:left="1440" w:hanging="720"/>
              <w:jc w:val="both"/>
            </w:pPr>
            <w:r>
              <w:t>(a)</w:t>
            </w:r>
            <w:r>
              <w:tab/>
            </w:r>
            <w:r w:rsidRPr="002A0976">
              <w:t xml:space="preserve">a degree or other educational qualification required for membership of Engineers Australia as a professional engineer eligible to </w:t>
            </w:r>
            <w:r>
              <w:t>use the post-</w:t>
            </w:r>
            <w:proofErr w:type="spellStart"/>
            <w:r>
              <w:t>nominals</w:t>
            </w:r>
            <w:proofErr w:type="spellEnd"/>
            <w:r>
              <w:t xml:space="preserve"> "</w:t>
            </w:r>
            <w:proofErr w:type="spellStart"/>
            <w:r>
              <w:t>MIEAust</w:t>
            </w:r>
            <w:proofErr w:type="spellEnd"/>
            <w:r>
              <w:t xml:space="preserve">" and </w:t>
            </w:r>
            <w:r w:rsidRPr="002A0976">
              <w:t>at least 3 </w:t>
            </w:r>
            <w:r w:rsidR="009B35D5" w:rsidRPr="002A0976">
              <w:t>years' experience</w:t>
            </w:r>
            <w:r w:rsidRPr="002A0976">
              <w:t xml:space="preserve"> in the design and supervision of the construction of building hydraulic services, including:</w:t>
            </w:r>
          </w:p>
          <w:p w:rsidR="00191212" w:rsidRPr="002A0976" w:rsidRDefault="00191212" w:rsidP="00E11C92">
            <w:pPr>
              <w:spacing w:before="120" w:after="120"/>
              <w:ind w:left="2160" w:hanging="720"/>
              <w:jc w:val="both"/>
              <w:rPr>
                <w:color w:val="000000"/>
              </w:rPr>
            </w:pPr>
            <w:r w:rsidRPr="002A0976">
              <w:t>(</w:t>
            </w:r>
            <w:proofErr w:type="spellStart"/>
            <w:r w:rsidRPr="002A0976">
              <w:t>i</w:t>
            </w:r>
            <w:proofErr w:type="spellEnd"/>
            <w:r w:rsidRPr="002A0976">
              <w:t>)</w:t>
            </w:r>
            <w:r w:rsidRPr="002A0976">
              <w:tab/>
              <w:t>at least 12 months practical experience in the design of building hydraulic services; and</w:t>
            </w:r>
          </w:p>
          <w:p w:rsidR="00191212" w:rsidRPr="00C446B7" w:rsidRDefault="00191212" w:rsidP="00E11C92">
            <w:pPr>
              <w:spacing w:before="120" w:after="120"/>
              <w:ind w:left="2160" w:hanging="720"/>
              <w:jc w:val="both"/>
            </w:pPr>
            <w:r w:rsidRPr="002A0976">
              <w:t>(ii)</w:t>
            </w:r>
            <w:r w:rsidRPr="002A0976">
              <w:tab/>
              <w:t>at least 12 months practical experience in the supervision of the construction</w:t>
            </w:r>
            <w:r>
              <w:t xml:space="preserve"> of building hydraulic services; or</w:t>
            </w:r>
          </w:p>
          <w:p w:rsidR="00191212" w:rsidRPr="005D3A9B" w:rsidRDefault="00191212" w:rsidP="00E11C92">
            <w:pPr>
              <w:spacing w:before="120" w:after="120"/>
              <w:ind w:left="1440" w:hanging="720"/>
              <w:jc w:val="both"/>
              <w:rPr>
                <w:color w:val="000000"/>
              </w:rPr>
            </w:pPr>
            <w:r>
              <w:t>(b</w:t>
            </w:r>
            <w:r w:rsidRPr="002A0976">
              <w:t>)</w:t>
            </w:r>
            <w:r w:rsidRPr="002A0976">
              <w:tab/>
              <w:t>a certificate of registration as a building s</w:t>
            </w:r>
            <w:r>
              <w:t>ervices engineer on the NER.</w:t>
            </w:r>
          </w:p>
        </w:tc>
      </w:tr>
      <w:tr w:rsidR="00191212" w:rsidRPr="002A0976" w:rsidTr="00701285">
        <w:trPr>
          <w:trHeight w:val="473"/>
        </w:trPr>
        <w:tc>
          <w:tcPr>
            <w:tcW w:w="9322" w:type="dxa"/>
            <w:gridSpan w:val="3"/>
            <w:shd w:val="clear" w:color="auto" w:fill="auto"/>
          </w:tcPr>
          <w:p w:rsidR="00191212" w:rsidRPr="002A0976" w:rsidRDefault="00191212" w:rsidP="00E11C92">
            <w:pPr>
              <w:keepNext/>
              <w:spacing w:before="120" w:after="120"/>
              <w:jc w:val="both"/>
              <w:rPr>
                <w:b/>
              </w:rPr>
            </w:pPr>
            <w:r w:rsidRPr="002A0976">
              <w:rPr>
                <w:b/>
              </w:rPr>
              <w:lastRenderedPageBreak/>
              <w:t>10</w:t>
            </w:r>
            <w:r w:rsidRPr="002A0976">
              <w:rPr>
                <w:b/>
              </w:rPr>
              <w:tab/>
              <w:t>Certifying engineer (mechanical)</w:t>
            </w:r>
          </w:p>
          <w:p w:rsidR="00191212" w:rsidRPr="002A0976" w:rsidRDefault="00191212" w:rsidP="00E11C92">
            <w:pPr>
              <w:spacing w:before="120" w:after="120"/>
              <w:ind w:left="720"/>
              <w:jc w:val="both"/>
            </w:pPr>
            <w:r w:rsidRPr="002A0976">
              <w:t>The qualifications and experience for registration in the category of certifying engineer (mechanical) are:</w:t>
            </w:r>
          </w:p>
          <w:p w:rsidR="00191212" w:rsidRDefault="00191212" w:rsidP="00E11C92">
            <w:pPr>
              <w:spacing w:before="120" w:after="120"/>
              <w:ind w:left="1440" w:hanging="720"/>
              <w:jc w:val="both"/>
              <w:rPr>
                <w:color w:val="000000"/>
              </w:rPr>
            </w:pPr>
            <w:r w:rsidRPr="002A0976">
              <w:t>(a)</w:t>
            </w:r>
            <w:r w:rsidRPr="002A0976">
              <w:tab/>
              <w:t xml:space="preserve">a degree or other educational qualification required for membership of </w:t>
            </w:r>
            <w:r w:rsidRPr="002A0976">
              <w:rPr>
                <w:color w:val="000000"/>
              </w:rPr>
              <w:t xml:space="preserve">Engineers Australia as a professional engineer eligible to </w:t>
            </w:r>
            <w:r>
              <w:rPr>
                <w:color w:val="000000"/>
              </w:rPr>
              <w:t>use the post-</w:t>
            </w:r>
            <w:proofErr w:type="spellStart"/>
            <w:r>
              <w:rPr>
                <w:color w:val="000000"/>
              </w:rPr>
              <w:t>nominals</w:t>
            </w:r>
            <w:proofErr w:type="spellEnd"/>
            <w:r>
              <w:rPr>
                <w:color w:val="000000"/>
              </w:rPr>
              <w:t xml:space="preserve"> "</w:t>
            </w:r>
            <w:proofErr w:type="spellStart"/>
            <w:r>
              <w:rPr>
                <w:color w:val="000000"/>
              </w:rPr>
              <w:t>MIEAust</w:t>
            </w:r>
            <w:proofErr w:type="spellEnd"/>
            <w:r>
              <w:rPr>
                <w:color w:val="000000"/>
              </w:rPr>
              <w:t xml:space="preserve">" and </w:t>
            </w:r>
            <w:r w:rsidRPr="002A0976">
              <w:rPr>
                <w:color w:val="000000"/>
              </w:rPr>
              <w:t xml:space="preserve">at least </w:t>
            </w:r>
            <w:r w:rsidRPr="002A0976">
              <w:t>3</w:t>
            </w:r>
            <w:r w:rsidRPr="002A0976">
              <w:rPr>
                <w:color w:val="000000"/>
              </w:rPr>
              <w:t> years practical experience in the design and supervision of the construction of mechanical services in buildings, including:</w:t>
            </w:r>
          </w:p>
          <w:p w:rsidR="00191212" w:rsidRPr="002A0976" w:rsidRDefault="00191212" w:rsidP="008548B6">
            <w:pPr>
              <w:spacing w:before="120" w:after="120"/>
              <w:ind w:left="2160" w:hanging="720"/>
              <w:jc w:val="both"/>
              <w:rPr>
                <w:color w:val="000000"/>
              </w:rPr>
            </w:pPr>
            <w:r w:rsidRPr="002A0976">
              <w:t>(</w:t>
            </w:r>
            <w:proofErr w:type="spellStart"/>
            <w:r w:rsidRPr="002A0976">
              <w:t>i</w:t>
            </w:r>
            <w:proofErr w:type="spellEnd"/>
            <w:r w:rsidRPr="002A0976">
              <w:t>)</w:t>
            </w:r>
            <w:r w:rsidRPr="002A0976">
              <w:tab/>
            </w:r>
            <w:r w:rsidRPr="002A0976">
              <w:rPr>
                <w:color w:val="000000"/>
              </w:rPr>
              <w:t>at least 12 months practical experience in the design of mechanical services in buildings; and</w:t>
            </w:r>
          </w:p>
          <w:p w:rsidR="00191212" w:rsidRPr="0098217A" w:rsidRDefault="00191212" w:rsidP="008548B6">
            <w:pPr>
              <w:spacing w:before="120" w:after="120"/>
              <w:ind w:left="2160" w:hanging="720"/>
              <w:jc w:val="both"/>
            </w:pPr>
            <w:r w:rsidRPr="002A0976">
              <w:rPr>
                <w:color w:val="000000"/>
              </w:rPr>
              <w:t>(ii)</w:t>
            </w:r>
            <w:r w:rsidRPr="002A0976">
              <w:rPr>
                <w:color w:val="000000"/>
              </w:rPr>
              <w:tab/>
              <w:t>at least 12 months practical experience in the supervision of the construction of m</w:t>
            </w:r>
            <w:r>
              <w:rPr>
                <w:color w:val="000000"/>
              </w:rPr>
              <w:t>echanical services in buildings; or</w:t>
            </w:r>
          </w:p>
          <w:p w:rsidR="00191212" w:rsidRPr="002A0976" w:rsidRDefault="00191212" w:rsidP="008548B6">
            <w:pPr>
              <w:spacing w:before="120" w:after="120"/>
              <w:ind w:left="1440" w:hanging="720"/>
              <w:jc w:val="both"/>
            </w:pPr>
            <w:r>
              <w:rPr>
                <w:color w:val="000000"/>
              </w:rPr>
              <w:t>(b)</w:t>
            </w:r>
            <w:r>
              <w:rPr>
                <w:color w:val="000000"/>
              </w:rPr>
              <w:tab/>
            </w:r>
            <w:r w:rsidRPr="002A0976">
              <w:rPr>
                <w:color w:val="000000"/>
              </w:rPr>
              <w:t xml:space="preserve">a certificate of </w:t>
            </w:r>
            <w:r w:rsidRPr="002A0976">
              <w:t>registration</w:t>
            </w:r>
            <w:r w:rsidRPr="002A0976">
              <w:rPr>
                <w:color w:val="000000"/>
              </w:rPr>
              <w:t xml:space="preserve"> as a mechanical engineer on the NER</w:t>
            </w:r>
            <w:r>
              <w:rPr>
                <w:color w:val="000000"/>
              </w:rPr>
              <w:t>.</w:t>
            </w:r>
          </w:p>
        </w:tc>
      </w:tr>
      <w:tr w:rsidR="00191212" w:rsidRPr="002A0976" w:rsidTr="00701285">
        <w:trPr>
          <w:trHeight w:val="473"/>
        </w:trPr>
        <w:tc>
          <w:tcPr>
            <w:tcW w:w="9322" w:type="dxa"/>
            <w:gridSpan w:val="3"/>
            <w:shd w:val="clear" w:color="auto" w:fill="auto"/>
          </w:tcPr>
          <w:p w:rsidR="00191212" w:rsidRPr="002A0976" w:rsidRDefault="00191212" w:rsidP="00704B7C">
            <w:pPr>
              <w:spacing w:before="120" w:after="120"/>
              <w:jc w:val="both"/>
              <w:rPr>
                <w:b/>
              </w:rPr>
            </w:pPr>
            <w:r w:rsidRPr="002A0976">
              <w:rPr>
                <w:b/>
              </w:rPr>
              <w:t>11</w:t>
            </w:r>
            <w:r w:rsidRPr="002A0976">
              <w:rPr>
                <w:b/>
              </w:rPr>
              <w:tab/>
              <w:t>Registration on renewal</w:t>
            </w:r>
          </w:p>
          <w:p w:rsidR="00191212" w:rsidRPr="002A0976" w:rsidRDefault="00191212" w:rsidP="009A25E0">
            <w:pPr>
              <w:spacing w:before="120" w:after="120"/>
              <w:ind w:left="720"/>
              <w:contextualSpacing/>
              <w:jc w:val="both"/>
            </w:pPr>
            <w:r w:rsidRPr="002A0976">
              <w:t>The qualifications and experience for a person's registration in a category of building practitioner on the renewal of that registration are the qualifications and experience required for registration in that category at the time the person was first registered in the category.</w:t>
            </w:r>
          </w:p>
        </w:tc>
      </w:tr>
    </w:tbl>
    <w:p w:rsidR="00191212" w:rsidRDefault="00191212" w:rsidP="00BF0BDC">
      <w:pPr>
        <w:pStyle w:val="BodyText"/>
        <w:keepNext/>
        <w:spacing w:before="240" w:after="120"/>
        <w:ind w:left="488"/>
        <w:jc w:val="center"/>
        <w:rPr>
          <w:rFonts w:ascii="Helvetica" w:hAnsi="Helvetica"/>
          <w:b/>
          <w:sz w:val="24"/>
          <w:szCs w:val="24"/>
          <w:lang w:val="en-AU"/>
        </w:rPr>
      </w:pPr>
      <w:r w:rsidRPr="00622DAE">
        <w:rPr>
          <w:rFonts w:ascii="Helvetica" w:hAnsi="Helvetica"/>
          <w:b/>
          <w:sz w:val="24"/>
          <w:szCs w:val="24"/>
          <w:lang w:val="en-AU"/>
        </w:rPr>
        <w:t>Schedule 2</w:t>
      </w:r>
    </w:p>
    <w:tbl>
      <w:tblPr>
        <w:tblW w:w="0" w:type="auto"/>
        <w:tblLook w:val="04A0" w:firstRow="1" w:lastRow="0" w:firstColumn="1" w:lastColumn="0" w:noHBand="0" w:noVBand="1"/>
        <w:tblCaption w:val="Schedule 2"/>
        <w:tblDescription w:val="Types and amounts of insurance that may be prescribed"/>
      </w:tblPr>
      <w:tblGrid>
        <w:gridCol w:w="9322"/>
      </w:tblGrid>
      <w:tr w:rsidR="00191212" w:rsidRPr="002A0976" w:rsidTr="00A76A92">
        <w:tc>
          <w:tcPr>
            <w:tcW w:w="9322" w:type="dxa"/>
            <w:shd w:val="clear" w:color="auto" w:fill="auto"/>
          </w:tcPr>
          <w:p w:rsidR="00191212" w:rsidRPr="002A0976" w:rsidRDefault="00191212" w:rsidP="00704B7C">
            <w:pPr>
              <w:pStyle w:val="BodyText"/>
              <w:keepNext/>
              <w:spacing w:before="120" w:after="120"/>
              <w:ind w:left="488"/>
              <w:rPr>
                <w:rFonts w:ascii="Helvetica" w:hAnsi="Helvetica"/>
                <w:b/>
                <w:sz w:val="24"/>
                <w:szCs w:val="24"/>
                <w:lang w:val="en-AU"/>
              </w:rPr>
            </w:pPr>
            <w:r w:rsidRPr="002A0976">
              <w:rPr>
                <w:rFonts w:ascii="Helvetica" w:hAnsi="Helvetica"/>
                <w:b/>
                <w:sz w:val="24"/>
                <w:szCs w:val="24"/>
                <w:lang w:val="en-AU"/>
              </w:rPr>
              <w:t>Types and amounts of insurance that may be prescribed</w:t>
            </w:r>
          </w:p>
        </w:tc>
      </w:tr>
      <w:tr w:rsidR="00191212" w:rsidRPr="002A0976" w:rsidTr="00A76A92">
        <w:tc>
          <w:tcPr>
            <w:tcW w:w="9322" w:type="dxa"/>
            <w:shd w:val="clear" w:color="auto" w:fill="auto"/>
          </w:tcPr>
          <w:p w:rsidR="00191212" w:rsidRPr="002A0976" w:rsidRDefault="00191212" w:rsidP="009A25E0">
            <w:pPr>
              <w:spacing w:before="120" w:after="120"/>
              <w:ind w:left="720" w:hanging="720"/>
              <w:contextualSpacing/>
              <w:jc w:val="both"/>
            </w:pPr>
            <w:r w:rsidRPr="002A0976">
              <w:t>1</w:t>
            </w:r>
            <w:r w:rsidRPr="002A0976">
              <w:tab/>
              <w:t>For a b</w:t>
            </w:r>
            <w:r>
              <w:t>uilding certifier (residential) </w:t>
            </w:r>
            <w:r w:rsidRPr="002A0976">
              <w:t>–</w:t>
            </w:r>
            <w:r>
              <w:t> </w:t>
            </w:r>
            <w:r w:rsidRPr="002A0976">
              <w:t>professional indemnity insurance for $500 000.</w:t>
            </w:r>
          </w:p>
          <w:p w:rsidR="00191212" w:rsidRPr="002A0976" w:rsidRDefault="00191212" w:rsidP="009A25E0">
            <w:pPr>
              <w:pStyle w:val="BodyText2"/>
              <w:spacing w:before="120" w:line="240" w:lineRule="auto"/>
              <w:ind w:left="720" w:hanging="720"/>
              <w:contextualSpacing/>
              <w:rPr>
                <w:rFonts w:ascii="Helvetica" w:hAnsi="Helvetica"/>
                <w:szCs w:val="24"/>
              </w:rPr>
            </w:pPr>
            <w:r w:rsidRPr="002A0976">
              <w:rPr>
                <w:rFonts w:ascii="Helvetica" w:hAnsi="Helvetica"/>
                <w:szCs w:val="24"/>
              </w:rPr>
              <w:t>2</w:t>
            </w:r>
            <w:r w:rsidRPr="002A0976">
              <w:rPr>
                <w:rFonts w:ascii="Helvetica" w:hAnsi="Helvetica"/>
                <w:szCs w:val="24"/>
              </w:rPr>
              <w:tab/>
              <w:t>For a bu</w:t>
            </w:r>
            <w:r>
              <w:rPr>
                <w:rFonts w:ascii="Helvetica" w:hAnsi="Helvetica"/>
                <w:szCs w:val="24"/>
              </w:rPr>
              <w:t>ilding certifier (unrestricted)</w:t>
            </w:r>
            <w:r>
              <w:rPr>
                <w:rFonts w:ascii="Helvetica" w:hAnsi="Helvetica"/>
              </w:rPr>
              <w:t> </w:t>
            </w:r>
            <w:r w:rsidRPr="002A0976">
              <w:rPr>
                <w:rFonts w:ascii="Helvetica" w:hAnsi="Helvetica"/>
              </w:rPr>
              <w:t>–</w:t>
            </w:r>
            <w:r>
              <w:rPr>
                <w:rFonts w:ascii="Helvetica" w:hAnsi="Helvetica"/>
              </w:rPr>
              <w:t> </w:t>
            </w:r>
            <w:r w:rsidRPr="002A0976">
              <w:rPr>
                <w:rFonts w:ascii="Helvetica" w:hAnsi="Helvetica"/>
                <w:szCs w:val="24"/>
              </w:rPr>
              <w:t>professional indemnity insurance for $1 000 000.</w:t>
            </w:r>
          </w:p>
          <w:p w:rsidR="00191212" w:rsidRPr="002A0976" w:rsidRDefault="00191212" w:rsidP="008548B6">
            <w:pPr>
              <w:spacing w:before="120" w:after="120"/>
              <w:ind w:left="720" w:hanging="720"/>
              <w:jc w:val="both"/>
            </w:pPr>
            <w:r>
              <w:t>3</w:t>
            </w:r>
            <w:r>
              <w:tab/>
              <w:t>For a certifying architect </w:t>
            </w:r>
            <w:r w:rsidRPr="002A0976">
              <w:t>–</w:t>
            </w:r>
            <w:r>
              <w:t> </w:t>
            </w:r>
            <w:r w:rsidRPr="002A0976">
              <w:t>professional indemnity insurance for $100 000.</w:t>
            </w:r>
          </w:p>
          <w:p w:rsidR="00191212" w:rsidRPr="002A0976" w:rsidRDefault="00191212" w:rsidP="008548B6">
            <w:pPr>
              <w:spacing w:before="120" w:after="120"/>
              <w:ind w:left="720" w:hanging="720"/>
              <w:jc w:val="both"/>
            </w:pPr>
            <w:r w:rsidRPr="002A0976">
              <w:rPr>
                <w:color w:val="000000"/>
              </w:rPr>
              <w:t>4</w:t>
            </w:r>
            <w:r w:rsidRPr="002A0976">
              <w:rPr>
                <w:color w:val="000000"/>
              </w:rPr>
              <w:tab/>
              <w:t>For a certifying plumber and drainer (design)</w:t>
            </w:r>
            <w:r>
              <w:t> </w:t>
            </w:r>
            <w:r w:rsidRPr="002A0976">
              <w:t>–</w:t>
            </w:r>
            <w:r>
              <w:t> </w:t>
            </w:r>
            <w:r w:rsidRPr="002A0976">
              <w:t>professional indemnity insurance for $1 000 000.</w:t>
            </w:r>
          </w:p>
          <w:p w:rsidR="00191212" w:rsidRPr="002A0976" w:rsidRDefault="00191212" w:rsidP="008548B6">
            <w:pPr>
              <w:spacing w:before="120" w:after="120"/>
              <w:ind w:left="720" w:hanging="720"/>
              <w:jc w:val="both"/>
            </w:pPr>
            <w:r w:rsidRPr="002A0976">
              <w:t>5</w:t>
            </w:r>
            <w:r w:rsidRPr="002A0976">
              <w:tab/>
              <w:t>For a certifying engineer (structural)</w:t>
            </w:r>
            <w:r>
              <w:t> </w:t>
            </w:r>
            <w:r w:rsidRPr="002A0976">
              <w:t>–</w:t>
            </w:r>
            <w:r>
              <w:t> </w:t>
            </w:r>
            <w:r w:rsidRPr="002A0976">
              <w:t>professional indemnity insurance for $1 000 000.</w:t>
            </w:r>
          </w:p>
          <w:p w:rsidR="00191212" w:rsidRPr="002A0976" w:rsidRDefault="00191212" w:rsidP="008548B6">
            <w:pPr>
              <w:spacing w:before="120" w:after="120"/>
              <w:ind w:left="720" w:hanging="720"/>
              <w:jc w:val="both"/>
            </w:pPr>
            <w:r w:rsidRPr="002A0976">
              <w:t>6</w:t>
            </w:r>
            <w:r w:rsidRPr="002A0976">
              <w:tab/>
              <w:t>For a certifying engineer (hydraulic)</w:t>
            </w:r>
            <w:r>
              <w:t> </w:t>
            </w:r>
            <w:r w:rsidRPr="002A0976">
              <w:t>–</w:t>
            </w:r>
            <w:r>
              <w:t> </w:t>
            </w:r>
            <w:r w:rsidRPr="002A0976">
              <w:t>professional indemnity insurance for $100 000.</w:t>
            </w:r>
          </w:p>
          <w:p w:rsidR="00191212" w:rsidRPr="002A0976" w:rsidRDefault="00191212" w:rsidP="008548B6">
            <w:pPr>
              <w:spacing w:before="120" w:after="120"/>
              <w:ind w:left="720" w:hanging="720"/>
              <w:jc w:val="both"/>
            </w:pPr>
            <w:r w:rsidRPr="002A0976">
              <w:t>7</w:t>
            </w:r>
            <w:r w:rsidRPr="002A0976">
              <w:tab/>
              <w:t>For a certifying engineer (mechanical)</w:t>
            </w:r>
            <w:r>
              <w:t> </w:t>
            </w:r>
            <w:r w:rsidRPr="002A0976">
              <w:t>–</w:t>
            </w:r>
            <w:r>
              <w:t> </w:t>
            </w:r>
            <w:r w:rsidRPr="002A0976">
              <w:t>professional indemnity insurance for $100 000.</w:t>
            </w:r>
          </w:p>
        </w:tc>
      </w:tr>
    </w:tbl>
    <w:p w:rsidR="00371F24" w:rsidRPr="004A4132" w:rsidRDefault="00371F24" w:rsidP="00C07340">
      <w:pPr>
        <w:pageBreakBefore/>
        <w:tabs>
          <w:tab w:val="left" w:pos="8640"/>
        </w:tabs>
        <w:spacing w:line="360" w:lineRule="auto"/>
        <w:jc w:val="center"/>
        <w:rPr>
          <w:spacing w:val="-3"/>
        </w:rPr>
      </w:pPr>
      <w:r w:rsidRPr="004A4132">
        <w:rPr>
          <w:spacing w:val="-3"/>
        </w:rPr>
        <w:lastRenderedPageBreak/>
        <w:t>Northern Territory of Australia</w:t>
      </w:r>
    </w:p>
    <w:p w:rsidR="00371F24" w:rsidRPr="004A4132" w:rsidRDefault="00371F24" w:rsidP="00371F24">
      <w:pPr>
        <w:spacing w:line="360" w:lineRule="auto"/>
        <w:jc w:val="center"/>
        <w:outlineLvl w:val="0"/>
        <w:rPr>
          <w:rFonts w:cs="Helvetica"/>
          <w:i/>
        </w:rPr>
      </w:pPr>
      <w:r w:rsidRPr="004A4132">
        <w:rPr>
          <w:rFonts w:cs="Helvetica"/>
          <w:i/>
        </w:rPr>
        <w:t>Public Sector Employment and Management Act</w:t>
      </w:r>
    </w:p>
    <w:p w:rsidR="00371F24" w:rsidRPr="004A4132" w:rsidRDefault="00371F24" w:rsidP="00371F24">
      <w:pPr>
        <w:spacing w:line="360" w:lineRule="auto"/>
        <w:jc w:val="center"/>
        <w:rPr>
          <w:b/>
          <w:spacing w:val="-3"/>
        </w:rPr>
      </w:pPr>
      <w:r w:rsidRPr="004A4132">
        <w:rPr>
          <w:b/>
          <w:spacing w:val="-3"/>
        </w:rPr>
        <w:t>Appointment of Chief Executive Officer</w:t>
      </w:r>
    </w:p>
    <w:p w:rsidR="00371F24" w:rsidRPr="004A4132" w:rsidRDefault="00371F24" w:rsidP="00371F24">
      <w:pPr>
        <w:spacing w:line="360" w:lineRule="auto"/>
        <w:jc w:val="both"/>
      </w:pPr>
      <w:r w:rsidRPr="004A4132">
        <w:t>I, Michael Patrick Francis Gunner, Chief Minister, under section 19A(1)</w:t>
      </w:r>
      <w:r w:rsidRPr="004A4132">
        <w:br/>
        <w:t xml:space="preserve">of the </w:t>
      </w:r>
      <w:r w:rsidRPr="004A4132">
        <w:rPr>
          <w:i/>
        </w:rPr>
        <w:t>Public Sector Employment and Management Act</w:t>
      </w:r>
      <w:r w:rsidRPr="004A4132">
        <w:t>, appoint</w:t>
      </w:r>
      <w:r w:rsidRPr="004A4132">
        <w:br/>
        <w:t xml:space="preserve">Jamie Andrew </w:t>
      </w:r>
      <w:proofErr w:type="spellStart"/>
      <w:r w:rsidRPr="004A4132">
        <w:t>Chalker</w:t>
      </w:r>
      <w:proofErr w:type="spellEnd"/>
      <w:r w:rsidRPr="004A4132">
        <w:t xml:space="preserve"> to be the Chief Executive Officer of the Department</w:t>
      </w:r>
      <w:r w:rsidRPr="004A4132">
        <w:br/>
        <w:t>of Housing and Community Development with effect on and from</w:t>
      </w:r>
      <w:r w:rsidRPr="004A4132">
        <w:br/>
        <w:t>19 December 2016.</w:t>
      </w:r>
    </w:p>
    <w:p w:rsidR="00371F24" w:rsidRPr="004A4132" w:rsidRDefault="00371F24" w:rsidP="00371F24">
      <w:pPr>
        <w:spacing w:before="240" w:after="240" w:line="360" w:lineRule="auto"/>
      </w:pPr>
      <w:r w:rsidRPr="004A4132">
        <w:t>Dated</w:t>
      </w:r>
      <w:r>
        <w:t xml:space="preserve"> 12 December 2016</w:t>
      </w:r>
    </w:p>
    <w:p w:rsidR="00371F24" w:rsidRPr="004A4132" w:rsidRDefault="00D63729" w:rsidP="00D63729">
      <w:pPr>
        <w:spacing w:before="240"/>
        <w:jc w:val="right"/>
      </w:pPr>
      <w:r>
        <w:t>M. P. F. Gunner</w:t>
      </w:r>
    </w:p>
    <w:p w:rsidR="00371F24" w:rsidRPr="004A4132" w:rsidRDefault="00371F24" w:rsidP="00371F24">
      <w:pPr>
        <w:tabs>
          <w:tab w:val="left" w:pos="8640"/>
        </w:tabs>
        <w:spacing w:line="360" w:lineRule="auto"/>
        <w:jc w:val="right"/>
        <w:rPr>
          <w:spacing w:val="-3"/>
        </w:rPr>
      </w:pPr>
      <w:r w:rsidRPr="004A4132">
        <w:rPr>
          <w:spacing w:val="-3"/>
        </w:rPr>
        <w:t>Chief Minister</w:t>
      </w:r>
    </w:p>
    <w:p w:rsidR="00371F24" w:rsidRPr="004A4132" w:rsidRDefault="00371F24" w:rsidP="005D7B82">
      <w:pPr>
        <w:widowControl w:val="0"/>
        <w:tabs>
          <w:tab w:val="left" w:pos="8640"/>
        </w:tabs>
        <w:spacing w:before="2040" w:line="360" w:lineRule="auto"/>
        <w:jc w:val="center"/>
        <w:rPr>
          <w:spacing w:val="-3"/>
        </w:rPr>
      </w:pPr>
      <w:r w:rsidRPr="004A4132">
        <w:rPr>
          <w:spacing w:val="-3"/>
        </w:rPr>
        <w:t>Northern Territory of Australia</w:t>
      </w:r>
    </w:p>
    <w:p w:rsidR="00371F24" w:rsidRPr="004A4132" w:rsidRDefault="00371F24" w:rsidP="00371F24">
      <w:pPr>
        <w:spacing w:line="360" w:lineRule="auto"/>
        <w:jc w:val="center"/>
        <w:outlineLvl w:val="0"/>
        <w:rPr>
          <w:rFonts w:cs="Helvetica"/>
          <w:i/>
        </w:rPr>
      </w:pPr>
      <w:r w:rsidRPr="004A4132">
        <w:rPr>
          <w:rFonts w:cs="Helvetica"/>
          <w:i/>
        </w:rPr>
        <w:t>Public Sector Employment and Management Act</w:t>
      </w:r>
    </w:p>
    <w:p w:rsidR="00371F24" w:rsidRPr="004A4132" w:rsidRDefault="00371F24" w:rsidP="00371F24">
      <w:pPr>
        <w:spacing w:line="360" w:lineRule="auto"/>
        <w:jc w:val="center"/>
        <w:rPr>
          <w:b/>
          <w:spacing w:val="-3"/>
        </w:rPr>
      </w:pPr>
      <w:r w:rsidRPr="004A4132">
        <w:rPr>
          <w:b/>
          <w:spacing w:val="-3"/>
        </w:rPr>
        <w:t>Appointment of Chief Executive Officer</w:t>
      </w:r>
    </w:p>
    <w:p w:rsidR="00371F24" w:rsidRPr="004A4132" w:rsidRDefault="00371F24" w:rsidP="00371F24">
      <w:pPr>
        <w:spacing w:line="360" w:lineRule="auto"/>
        <w:jc w:val="both"/>
      </w:pPr>
      <w:r w:rsidRPr="004A4132">
        <w:t xml:space="preserve">I, Michael Patrick Francis Gunner, Chief Minister, under section 19A(1) of the </w:t>
      </w:r>
      <w:r w:rsidRPr="004A4132">
        <w:rPr>
          <w:i/>
        </w:rPr>
        <w:t>Public</w:t>
      </w:r>
      <w:r w:rsidR="003B374B">
        <w:rPr>
          <w:i/>
        </w:rPr>
        <w:t> </w:t>
      </w:r>
      <w:r w:rsidRPr="004A4132">
        <w:rPr>
          <w:i/>
        </w:rPr>
        <w:t>Sector Employment and Management Act</w:t>
      </w:r>
      <w:r w:rsidRPr="004A4132">
        <w:t xml:space="preserve">, appoint Vicki Faith </w:t>
      </w:r>
      <w:proofErr w:type="spellStart"/>
      <w:r w:rsidRPr="004A4132">
        <w:t>Baylis</w:t>
      </w:r>
      <w:proofErr w:type="spellEnd"/>
      <w:r w:rsidRPr="004A4132">
        <w:t xml:space="preserve"> to be the Chief Executive Officer of the Department of Education with effect on and from 12</w:t>
      </w:r>
      <w:r w:rsidR="00F4541E">
        <w:t> </w:t>
      </w:r>
      <w:r w:rsidRPr="004A4132">
        <w:t>December 2016.</w:t>
      </w:r>
    </w:p>
    <w:p w:rsidR="00371F24" w:rsidRPr="004A4132" w:rsidRDefault="00371F24" w:rsidP="00D63729">
      <w:pPr>
        <w:spacing w:before="240" w:after="240" w:line="360" w:lineRule="auto"/>
      </w:pPr>
      <w:r w:rsidRPr="004A4132">
        <w:t>Dated</w:t>
      </w:r>
      <w:r>
        <w:t xml:space="preserve"> 12 December 2016</w:t>
      </w:r>
    </w:p>
    <w:p w:rsidR="00371F24" w:rsidRPr="004A4132" w:rsidRDefault="005D7B82" w:rsidP="00D63729">
      <w:pPr>
        <w:spacing w:before="240"/>
        <w:jc w:val="right"/>
      </w:pPr>
      <w:r>
        <w:t>M. P. F.</w:t>
      </w:r>
      <w:r w:rsidR="00D63729">
        <w:t xml:space="preserve"> Gunner</w:t>
      </w:r>
    </w:p>
    <w:p w:rsidR="00371F24" w:rsidRPr="004A4132" w:rsidRDefault="00371F24" w:rsidP="00371F24">
      <w:pPr>
        <w:tabs>
          <w:tab w:val="left" w:pos="8640"/>
        </w:tabs>
        <w:spacing w:line="360" w:lineRule="auto"/>
        <w:jc w:val="right"/>
        <w:rPr>
          <w:spacing w:val="-3"/>
        </w:rPr>
      </w:pPr>
      <w:r w:rsidRPr="004A4132">
        <w:rPr>
          <w:spacing w:val="-3"/>
        </w:rPr>
        <w:t>Chief Minister</w:t>
      </w:r>
    </w:p>
    <w:p w:rsidR="00D36E43" w:rsidRPr="001F2D88" w:rsidRDefault="00D36E43" w:rsidP="00D36E43">
      <w:pPr>
        <w:pageBreakBefore/>
        <w:widowControl w:val="0"/>
        <w:tabs>
          <w:tab w:val="left" w:pos="8640"/>
        </w:tabs>
        <w:spacing w:line="360" w:lineRule="auto"/>
        <w:jc w:val="center"/>
        <w:rPr>
          <w:spacing w:val="-3"/>
        </w:rPr>
      </w:pPr>
      <w:r w:rsidRPr="00CE1DB8">
        <w:rPr>
          <w:spacing w:val="-3"/>
        </w:rPr>
        <w:lastRenderedPageBreak/>
        <w:t>Northern Territory of Australia</w:t>
      </w:r>
    </w:p>
    <w:p w:rsidR="00D36E43" w:rsidRPr="004C196F" w:rsidRDefault="00D36E43" w:rsidP="00D36E43">
      <w:pPr>
        <w:spacing w:after="120"/>
        <w:jc w:val="center"/>
        <w:outlineLvl w:val="0"/>
        <w:rPr>
          <w:rFonts w:cs="Helvetica"/>
          <w:i/>
        </w:rPr>
      </w:pPr>
      <w:r>
        <w:rPr>
          <w:rFonts w:cs="Helvetica"/>
          <w:i/>
        </w:rPr>
        <w:t xml:space="preserve">Environment Protection (Beverage Containers and Plastic Bags) </w:t>
      </w:r>
      <w:r>
        <w:rPr>
          <w:rFonts w:cs="Helvetica"/>
          <w:i/>
        </w:rPr>
        <w:br/>
        <w:t>Legislation Amendment Act 2014</w:t>
      </w:r>
    </w:p>
    <w:p w:rsidR="00D36E43" w:rsidRPr="005D2BCA" w:rsidRDefault="00D36E43" w:rsidP="00D36E43">
      <w:pPr>
        <w:spacing w:line="360" w:lineRule="auto"/>
        <w:jc w:val="center"/>
        <w:rPr>
          <w:b/>
          <w:spacing w:val="-3"/>
        </w:rPr>
      </w:pPr>
      <w:r>
        <w:rPr>
          <w:b/>
          <w:spacing w:val="-3"/>
        </w:rPr>
        <w:t>Commencement Notice</w:t>
      </w:r>
    </w:p>
    <w:p w:rsidR="00D36E43" w:rsidRPr="002E36A8" w:rsidRDefault="00D36E43" w:rsidP="00D36E43">
      <w:pPr>
        <w:spacing w:line="360" w:lineRule="auto"/>
        <w:jc w:val="both"/>
      </w:pPr>
      <w:r w:rsidRPr="00CE1DB8">
        <w:t xml:space="preserve">I, </w:t>
      </w:r>
      <w:r>
        <w:t>John Laurence Hardy</w:t>
      </w:r>
      <w:r w:rsidRPr="00CE1DB8">
        <w:t xml:space="preserve">, </w:t>
      </w:r>
      <w:r>
        <w:t>Administrator of the Northern Territory of Australia</w:t>
      </w:r>
      <w:r w:rsidRPr="00CE1DB8">
        <w:t>, under section </w:t>
      </w:r>
      <w:r>
        <w:t xml:space="preserve">2 of the </w:t>
      </w:r>
      <w:r>
        <w:rPr>
          <w:i/>
        </w:rPr>
        <w:t xml:space="preserve">Environment Protection (Beverage Containers and Plastic Bags) Legislation Amendment </w:t>
      </w:r>
      <w:r w:rsidRPr="00643A83">
        <w:rPr>
          <w:i/>
        </w:rPr>
        <w:t>Act</w:t>
      </w:r>
      <w:r>
        <w:t xml:space="preserve"> </w:t>
      </w:r>
      <w:r>
        <w:rPr>
          <w:i/>
        </w:rPr>
        <w:t>2014</w:t>
      </w:r>
      <w:r>
        <w:t xml:space="preserve"> (No. 17 of 2014), fix 1 January 2017 as the day on which the remaining provisions of the Act (including sections 9, 11 and 20 to the extent that they have not been commenced) commence.</w:t>
      </w:r>
    </w:p>
    <w:p w:rsidR="00D36E43" w:rsidRPr="00CE1DB8" w:rsidRDefault="00D36E43" w:rsidP="00D36E43">
      <w:pPr>
        <w:spacing w:before="240" w:after="240" w:line="360" w:lineRule="auto"/>
      </w:pPr>
      <w:r w:rsidRPr="00CE1DB8">
        <w:t>Dated</w:t>
      </w:r>
      <w:r>
        <w:t xml:space="preserve"> 9 December 2016</w:t>
      </w:r>
    </w:p>
    <w:p w:rsidR="00D36E43" w:rsidRPr="00CE1DB8" w:rsidRDefault="00D36E43" w:rsidP="00D36E43">
      <w:pPr>
        <w:tabs>
          <w:tab w:val="left" w:pos="8640"/>
        </w:tabs>
        <w:spacing w:before="240"/>
        <w:jc w:val="right"/>
        <w:rPr>
          <w:spacing w:val="-3"/>
        </w:rPr>
      </w:pPr>
      <w:r>
        <w:rPr>
          <w:spacing w:val="-3"/>
        </w:rPr>
        <w:t>J. L . Hardy</w:t>
      </w:r>
    </w:p>
    <w:p w:rsidR="00D36E43" w:rsidRPr="00CE1DB8" w:rsidRDefault="00D36E43" w:rsidP="00D36E43">
      <w:pPr>
        <w:tabs>
          <w:tab w:val="left" w:pos="8640"/>
        </w:tabs>
        <w:spacing w:line="360" w:lineRule="auto"/>
        <w:jc w:val="right"/>
        <w:rPr>
          <w:spacing w:val="-3"/>
        </w:rPr>
      </w:pPr>
      <w:r>
        <w:rPr>
          <w:spacing w:val="-3"/>
        </w:rPr>
        <w:t>Administrator</w:t>
      </w:r>
    </w:p>
    <w:p w:rsidR="006633E3" w:rsidRPr="006633E3" w:rsidRDefault="00704BBC" w:rsidP="006D4FE5">
      <w:pPr>
        <w:pStyle w:val="LSBodyText"/>
        <w:spacing w:before="1200" w:after="240"/>
        <w:jc w:val="both"/>
        <w:rPr>
          <w:rFonts w:ascii="Helvetica" w:hAnsi="Helvetica" w:cs="Helvetica"/>
          <w:b/>
          <w:i/>
          <w:sz w:val="24"/>
          <w:szCs w:val="24"/>
        </w:rPr>
      </w:pPr>
      <w:r w:rsidRPr="006633E3">
        <w:rPr>
          <w:rFonts w:ascii="Helvetica" w:hAnsi="Helvetica" w:cs="Helvetica"/>
          <w:b/>
          <w:i/>
          <w:sz w:val="24"/>
          <w:szCs w:val="24"/>
        </w:rPr>
        <w:t>Legal Profession Act 2006</w:t>
      </w:r>
    </w:p>
    <w:p w:rsidR="006633E3" w:rsidRPr="006633E3" w:rsidRDefault="006633E3" w:rsidP="00704BBC">
      <w:pPr>
        <w:numPr>
          <w:ilvl w:val="0"/>
          <w:numId w:val="10"/>
        </w:numPr>
        <w:spacing w:after="120"/>
        <w:ind w:left="567" w:hanging="567"/>
        <w:jc w:val="both"/>
        <w:rPr>
          <w:rFonts w:cs="Helvetica"/>
          <w:szCs w:val="24"/>
        </w:rPr>
      </w:pPr>
      <w:r w:rsidRPr="006633E3">
        <w:rPr>
          <w:rFonts w:cs="Helvetica"/>
          <w:szCs w:val="24"/>
        </w:rPr>
        <w:t xml:space="preserve">The Law Society Northern Territory pursuant to section 375 of the </w:t>
      </w:r>
      <w:r w:rsidRPr="006633E3">
        <w:rPr>
          <w:rFonts w:cs="Helvetica"/>
          <w:i/>
          <w:szCs w:val="24"/>
        </w:rPr>
        <w:t>Legal</w:t>
      </w:r>
      <w:r w:rsidR="0008277A">
        <w:rPr>
          <w:rFonts w:cs="Helvetica"/>
          <w:i/>
          <w:szCs w:val="24"/>
        </w:rPr>
        <w:t> </w:t>
      </w:r>
      <w:r w:rsidRPr="006633E3">
        <w:rPr>
          <w:rFonts w:cs="Helvetica"/>
          <w:i/>
          <w:szCs w:val="24"/>
        </w:rPr>
        <w:t xml:space="preserve">Profession Act </w:t>
      </w:r>
      <w:r w:rsidRPr="006633E3">
        <w:rPr>
          <w:rFonts w:cs="Helvetica"/>
          <w:szCs w:val="24"/>
        </w:rPr>
        <w:t>2006 (the Act) exempts Greta Jane Driscoll from compliance with the section 376 of the Act and Regulations.</w:t>
      </w:r>
    </w:p>
    <w:p w:rsidR="006633E3" w:rsidRPr="006633E3" w:rsidRDefault="006633E3" w:rsidP="00704BBC">
      <w:pPr>
        <w:numPr>
          <w:ilvl w:val="0"/>
          <w:numId w:val="10"/>
        </w:numPr>
        <w:spacing w:after="120"/>
        <w:ind w:left="567" w:hanging="567"/>
        <w:jc w:val="both"/>
        <w:rPr>
          <w:rFonts w:cs="Helvetica"/>
          <w:szCs w:val="24"/>
        </w:rPr>
      </w:pPr>
      <w:r w:rsidRPr="006633E3">
        <w:rPr>
          <w:rFonts w:cs="Helvetica"/>
          <w:szCs w:val="24"/>
        </w:rPr>
        <w:t xml:space="preserve">Pursuant to section 375 of the Act, the period of exemption shall be from </w:t>
      </w:r>
      <w:r w:rsidRPr="006633E3">
        <w:rPr>
          <w:rFonts w:cs="Helvetica"/>
          <w:b/>
          <w:szCs w:val="24"/>
        </w:rPr>
        <w:t>4.00pm on 30 November 2016 to 4.00pm on 30 June 2017</w:t>
      </w:r>
      <w:r w:rsidRPr="006633E3">
        <w:rPr>
          <w:rFonts w:cs="Helvetica"/>
          <w:szCs w:val="24"/>
        </w:rPr>
        <w:t>, unless the instrument is earlier terminated by the Law Society Northern Territory.</w:t>
      </w:r>
    </w:p>
    <w:p w:rsidR="006633E3" w:rsidRPr="006633E3" w:rsidRDefault="006633E3" w:rsidP="00704BBC">
      <w:pPr>
        <w:numPr>
          <w:ilvl w:val="0"/>
          <w:numId w:val="10"/>
        </w:numPr>
        <w:spacing w:after="120"/>
        <w:ind w:left="567" w:hanging="567"/>
        <w:jc w:val="both"/>
        <w:rPr>
          <w:rFonts w:cs="Helvetica"/>
          <w:szCs w:val="24"/>
        </w:rPr>
      </w:pPr>
      <w:r w:rsidRPr="006633E3">
        <w:rPr>
          <w:rFonts w:cs="Helvetica"/>
          <w:szCs w:val="24"/>
        </w:rPr>
        <w:t>This exemption is subject to the following conditions:</w:t>
      </w:r>
    </w:p>
    <w:p w:rsidR="006633E3" w:rsidRPr="006633E3" w:rsidRDefault="006633E3" w:rsidP="00704BBC">
      <w:pPr>
        <w:numPr>
          <w:ilvl w:val="0"/>
          <w:numId w:val="11"/>
        </w:numPr>
        <w:tabs>
          <w:tab w:val="left" w:pos="1418"/>
        </w:tabs>
        <w:spacing w:after="120"/>
        <w:ind w:left="993" w:hanging="426"/>
        <w:jc w:val="both"/>
        <w:rPr>
          <w:rFonts w:cs="Helvetica"/>
          <w:szCs w:val="24"/>
        </w:rPr>
      </w:pPr>
      <w:r w:rsidRPr="006633E3">
        <w:rPr>
          <w:rFonts w:cs="Helvetica"/>
          <w:szCs w:val="24"/>
        </w:rPr>
        <w:t>This exemption is limited to the activities of Greta Jane Driscoll whilst acting within her role at the Australian Health Practitioner Regulation Agency.</w:t>
      </w:r>
    </w:p>
    <w:p w:rsidR="006633E3" w:rsidRDefault="006633E3" w:rsidP="00704BBC">
      <w:pPr>
        <w:pStyle w:val="LSBodyText"/>
        <w:jc w:val="both"/>
        <w:rPr>
          <w:rFonts w:ascii="Helvetica" w:hAnsi="Helvetica" w:cs="Helvetica"/>
          <w:sz w:val="24"/>
          <w:szCs w:val="24"/>
        </w:rPr>
      </w:pPr>
      <w:r w:rsidRPr="006633E3">
        <w:rPr>
          <w:rFonts w:ascii="Helvetica" w:hAnsi="Helvetica" w:cs="Helvetica"/>
          <w:sz w:val="24"/>
          <w:szCs w:val="24"/>
        </w:rPr>
        <w:t>Dated this 14</w:t>
      </w:r>
      <w:r w:rsidRPr="006633E3">
        <w:rPr>
          <w:rFonts w:ascii="Helvetica" w:hAnsi="Helvetica" w:cs="Helvetica"/>
          <w:sz w:val="24"/>
          <w:szCs w:val="24"/>
          <w:vertAlign w:val="superscript"/>
        </w:rPr>
        <w:t>th</w:t>
      </w:r>
      <w:r w:rsidRPr="006633E3">
        <w:rPr>
          <w:rFonts w:ascii="Helvetica" w:hAnsi="Helvetica" w:cs="Helvetica"/>
          <w:sz w:val="24"/>
          <w:szCs w:val="24"/>
        </w:rPr>
        <w:t xml:space="preserve"> day of December 2016</w:t>
      </w:r>
    </w:p>
    <w:p w:rsidR="00704BBC" w:rsidRPr="006633E3" w:rsidRDefault="0008277A" w:rsidP="00704BBC">
      <w:pPr>
        <w:pStyle w:val="LSBodyText"/>
        <w:jc w:val="both"/>
        <w:rPr>
          <w:rFonts w:ascii="Helvetica" w:hAnsi="Helvetica" w:cs="Helvetica"/>
          <w:sz w:val="24"/>
          <w:szCs w:val="24"/>
        </w:rPr>
      </w:pPr>
      <w:r>
        <w:rPr>
          <w:rFonts w:ascii="Helvetica" w:hAnsi="Helvetica" w:cs="Helvetica"/>
          <w:sz w:val="24"/>
          <w:szCs w:val="24"/>
        </w:rPr>
        <w:t>Kellie Anne Grainger</w:t>
      </w:r>
    </w:p>
    <w:p w:rsidR="006633E3" w:rsidRPr="006633E3" w:rsidRDefault="006633E3" w:rsidP="00704BBC">
      <w:pPr>
        <w:pStyle w:val="LSBodyText"/>
        <w:jc w:val="both"/>
        <w:rPr>
          <w:rFonts w:ascii="Helvetica" w:hAnsi="Helvetica" w:cs="Helvetica"/>
          <w:sz w:val="24"/>
          <w:szCs w:val="24"/>
        </w:rPr>
      </w:pPr>
      <w:r w:rsidRPr="006633E3">
        <w:rPr>
          <w:rFonts w:ascii="Helvetica" w:hAnsi="Helvetica" w:cs="Helvetica"/>
          <w:sz w:val="24"/>
          <w:szCs w:val="24"/>
        </w:rPr>
        <w:t>Executed by the Acting CEO</w:t>
      </w:r>
    </w:p>
    <w:p w:rsidR="006633E3" w:rsidRPr="006633E3" w:rsidRDefault="006633E3" w:rsidP="00704BBC">
      <w:pPr>
        <w:pStyle w:val="LSBodyText"/>
        <w:jc w:val="both"/>
        <w:rPr>
          <w:rFonts w:ascii="Helvetica" w:hAnsi="Helvetica" w:cs="Helvetica"/>
          <w:sz w:val="24"/>
          <w:szCs w:val="24"/>
        </w:rPr>
      </w:pPr>
      <w:r w:rsidRPr="006633E3">
        <w:rPr>
          <w:rFonts w:ascii="Helvetica" w:hAnsi="Helvetica" w:cs="Helvetica"/>
          <w:sz w:val="24"/>
          <w:szCs w:val="24"/>
        </w:rPr>
        <w:t>Pursuant to a delegation from the Law Society Northern Territory under section 647 of the Act</w:t>
      </w:r>
    </w:p>
    <w:p w:rsidR="001D56F1" w:rsidRPr="00FF4B33" w:rsidRDefault="001D56F1" w:rsidP="00466B52">
      <w:pPr>
        <w:pageBreakBefore/>
        <w:spacing w:line="360" w:lineRule="auto"/>
        <w:jc w:val="center"/>
      </w:pPr>
      <w:r w:rsidRPr="00FF4B33">
        <w:lastRenderedPageBreak/>
        <w:t>N</w:t>
      </w:r>
      <w:r w:rsidR="001D4822">
        <w:t>orthern Territory o</w:t>
      </w:r>
      <w:r w:rsidR="001D4822" w:rsidRPr="00FF4B33">
        <w:t>f Australia</w:t>
      </w:r>
    </w:p>
    <w:p w:rsidR="001D56F1" w:rsidRPr="00FF4B33" w:rsidRDefault="001D56F1" w:rsidP="001D4822">
      <w:pPr>
        <w:spacing w:line="360" w:lineRule="auto"/>
        <w:jc w:val="center"/>
        <w:rPr>
          <w:i/>
        </w:rPr>
      </w:pPr>
      <w:r w:rsidRPr="00FF4B33">
        <w:rPr>
          <w:i/>
        </w:rPr>
        <w:t>Law Officers Act</w:t>
      </w:r>
    </w:p>
    <w:p w:rsidR="001D56F1" w:rsidRPr="001D4822" w:rsidRDefault="001D56F1" w:rsidP="00466B52">
      <w:pPr>
        <w:spacing w:line="360" w:lineRule="auto"/>
        <w:jc w:val="center"/>
        <w:rPr>
          <w:b/>
        </w:rPr>
      </w:pPr>
      <w:proofErr w:type="spellStart"/>
      <w:r w:rsidRPr="001D4822">
        <w:rPr>
          <w:b/>
        </w:rPr>
        <w:t>A</w:t>
      </w:r>
      <w:r w:rsidR="001D4822" w:rsidRPr="001D4822">
        <w:rPr>
          <w:b/>
        </w:rPr>
        <w:t>uthorisation</w:t>
      </w:r>
      <w:proofErr w:type="spellEnd"/>
    </w:p>
    <w:p w:rsidR="001D56F1" w:rsidRPr="00FF4B33" w:rsidRDefault="001D56F1" w:rsidP="001D4822">
      <w:pPr>
        <w:spacing w:line="360" w:lineRule="auto"/>
        <w:jc w:val="both"/>
      </w:pPr>
      <w:r w:rsidRPr="00FF4B33">
        <w:t xml:space="preserve">I, </w:t>
      </w:r>
      <w:r w:rsidR="0054131A" w:rsidRPr="00FF4B33">
        <w:t>Gregory John Shanahan</w:t>
      </w:r>
      <w:r w:rsidRPr="00FF4B33">
        <w:t xml:space="preserve">, the Chief Executive Officer of the </w:t>
      </w:r>
      <w:r w:rsidRPr="00FF4B33">
        <w:br/>
        <w:t xml:space="preserve">Department of the Attorney-General and Justice, in pursuance of section 8(4) of the </w:t>
      </w:r>
      <w:r w:rsidRPr="00FF4B33">
        <w:rPr>
          <w:i/>
        </w:rPr>
        <w:t>Law Officers Act</w:t>
      </w:r>
      <w:r w:rsidRPr="00FF4B33">
        <w:t xml:space="preserve">, </w:t>
      </w:r>
      <w:proofErr w:type="spellStart"/>
      <w:r w:rsidRPr="00FF4B33">
        <w:t>authorise</w:t>
      </w:r>
      <w:proofErr w:type="spellEnd"/>
      <w:r w:rsidRPr="00FF4B33">
        <w:t xml:space="preserve"> </w:t>
      </w:r>
      <w:r>
        <w:t>Elise Mary Roussos an officer</w:t>
      </w:r>
      <w:r w:rsidRPr="00FF4B33">
        <w:t xml:space="preserve"> of the Department, being a legal practitioner, to act in the name of the Solicitor for the Northern Territory.</w:t>
      </w:r>
    </w:p>
    <w:p w:rsidR="001D56F1" w:rsidRPr="00FF4B33" w:rsidRDefault="001D56F1" w:rsidP="007F5E18">
      <w:pPr>
        <w:tabs>
          <w:tab w:val="left" w:pos="5245"/>
        </w:tabs>
        <w:spacing w:before="240" w:after="240"/>
        <w:rPr>
          <w:b/>
        </w:rPr>
      </w:pPr>
      <w:r w:rsidRPr="00FF4B33">
        <w:t>Dated</w:t>
      </w:r>
      <w:r w:rsidR="0054131A">
        <w:t xml:space="preserve"> 14 December </w:t>
      </w:r>
      <w:r w:rsidRPr="0054131A">
        <w:t>2016</w:t>
      </w:r>
    </w:p>
    <w:p w:rsidR="007F5E18" w:rsidRDefault="007F5E18" w:rsidP="00C43162">
      <w:pPr>
        <w:tabs>
          <w:tab w:val="left" w:pos="4950"/>
        </w:tabs>
        <w:spacing w:before="240"/>
        <w:jc w:val="right"/>
      </w:pPr>
      <w:r>
        <w:t>G. J. Shanahan</w:t>
      </w:r>
    </w:p>
    <w:p w:rsidR="001D56F1" w:rsidRPr="00FF4B33" w:rsidRDefault="001D56F1" w:rsidP="00C43162">
      <w:pPr>
        <w:tabs>
          <w:tab w:val="left" w:pos="4950"/>
        </w:tabs>
        <w:jc w:val="right"/>
      </w:pPr>
      <w:r w:rsidRPr="00FF4B33">
        <w:t>Chief Executive Officer</w:t>
      </w:r>
    </w:p>
    <w:p w:rsidR="00581634" w:rsidRPr="001F2D88" w:rsidRDefault="00581634" w:rsidP="00DB0906">
      <w:pPr>
        <w:tabs>
          <w:tab w:val="left" w:pos="8640"/>
        </w:tabs>
        <w:spacing w:before="2040" w:line="360" w:lineRule="auto"/>
        <w:jc w:val="center"/>
        <w:rPr>
          <w:spacing w:val="-3"/>
        </w:rPr>
      </w:pPr>
      <w:r w:rsidRPr="00CE1DB8">
        <w:rPr>
          <w:spacing w:val="-3"/>
        </w:rPr>
        <w:t>Northern Territory of Australia</w:t>
      </w:r>
    </w:p>
    <w:p w:rsidR="00581634" w:rsidRPr="004C196F" w:rsidRDefault="00581634" w:rsidP="00581634">
      <w:pPr>
        <w:spacing w:line="360" w:lineRule="auto"/>
        <w:jc w:val="center"/>
        <w:outlineLvl w:val="0"/>
        <w:rPr>
          <w:rFonts w:cs="Helvetica"/>
          <w:i/>
        </w:rPr>
      </w:pPr>
      <w:r>
        <w:rPr>
          <w:rFonts w:cs="Helvetica"/>
          <w:i/>
        </w:rPr>
        <w:t>Fisheries Legislation Amendment Act 2016</w:t>
      </w:r>
    </w:p>
    <w:p w:rsidR="00581634" w:rsidRPr="005D2BCA" w:rsidRDefault="00581634" w:rsidP="00581634">
      <w:pPr>
        <w:spacing w:line="360" w:lineRule="auto"/>
        <w:jc w:val="center"/>
        <w:rPr>
          <w:b/>
          <w:spacing w:val="-3"/>
        </w:rPr>
      </w:pPr>
      <w:r>
        <w:rPr>
          <w:b/>
          <w:spacing w:val="-3"/>
        </w:rPr>
        <w:t>Commencement Notice</w:t>
      </w:r>
    </w:p>
    <w:p w:rsidR="00581634" w:rsidRDefault="00581634" w:rsidP="00581634">
      <w:pPr>
        <w:spacing w:line="360" w:lineRule="auto"/>
        <w:jc w:val="both"/>
      </w:pPr>
      <w:r w:rsidRPr="001F5C18">
        <w:t xml:space="preserve">I, </w:t>
      </w:r>
      <w:r>
        <w:t>John Laurence Hardy</w:t>
      </w:r>
      <w:r w:rsidRPr="001F5C18">
        <w:t xml:space="preserve">, </w:t>
      </w:r>
      <w:r>
        <w:t xml:space="preserve">Administrator of the Northern Territory of Australia, </w:t>
      </w:r>
      <w:r w:rsidRPr="001F5C18">
        <w:t>under section </w:t>
      </w:r>
      <w:r>
        <w:t>2</w:t>
      </w:r>
      <w:r w:rsidRPr="001F5C18">
        <w:t xml:space="preserve"> of the </w:t>
      </w:r>
      <w:r>
        <w:rPr>
          <w:rFonts w:cs="Helvetica"/>
          <w:i/>
        </w:rPr>
        <w:t xml:space="preserve">Fisheries Legislation Amendment Act 2016 </w:t>
      </w:r>
      <w:r>
        <w:t>(No. 23 of 2016), fix 1 January 2017 as the day on which the Act commences.</w:t>
      </w:r>
    </w:p>
    <w:p w:rsidR="00581634" w:rsidRPr="00CE1DB8" w:rsidRDefault="00581634" w:rsidP="00DF0818">
      <w:pPr>
        <w:spacing w:before="240" w:after="240"/>
      </w:pPr>
      <w:r w:rsidRPr="00CE1DB8">
        <w:t>Dated</w:t>
      </w:r>
      <w:r w:rsidR="00DF0818">
        <w:t xml:space="preserve"> 29 November 2016</w:t>
      </w:r>
    </w:p>
    <w:p w:rsidR="00DF0818" w:rsidRDefault="00DF0818" w:rsidP="00DF0818">
      <w:pPr>
        <w:tabs>
          <w:tab w:val="left" w:pos="8640"/>
        </w:tabs>
        <w:spacing w:before="240"/>
        <w:jc w:val="right"/>
        <w:rPr>
          <w:spacing w:val="-3"/>
        </w:rPr>
      </w:pPr>
      <w:r>
        <w:rPr>
          <w:spacing w:val="-3"/>
        </w:rPr>
        <w:t>J. L. Hardy</w:t>
      </w:r>
    </w:p>
    <w:p w:rsidR="00581634" w:rsidRPr="00CE1DB8" w:rsidRDefault="00581634" w:rsidP="00DB0906">
      <w:pPr>
        <w:tabs>
          <w:tab w:val="left" w:pos="8640"/>
        </w:tabs>
        <w:jc w:val="right"/>
        <w:rPr>
          <w:spacing w:val="-3"/>
        </w:rPr>
      </w:pPr>
      <w:r>
        <w:rPr>
          <w:spacing w:val="-3"/>
        </w:rPr>
        <w:t>Administrator</w:t>
      </w:r>
    </w:p>
    <w:p w:rsidR="000D59A8" w:rsidRPr="007D5639" w:rsidRDefault="000D59A8" w:rsidP="00132BDB">
      <w:pPr>
        <w:pageBreakBefore/>
        <w:spacing w:line="360" w:lineRule="auto"/>
        <w:jc w:val="center"/>
        <w:rPr>
          <w:rFonts w:cs="Helvetica"/>
          <w:szCs w:val="24"/>
        </w:rPr>
      </w:pPr>
      <w:r w:rsidRPr="007D5639">
        <w:rPr>
          <w:rFonts w:cs="Helvetica"/>
          <w:szCs w:val="24"/>
        </w:rPr>
        <w:lastRenderedPageBreak/>
        <w:t>Notice pursuant to section 54 of the</w:t>
      </w:r>
    </w:p>
    <w:p w:rsidR="000D59A8" w:rsidRPr="007D5639" w:rsidRDefault="000D59A8" w:rsidP="00132BDB">
      <w:pPr>
        <w:spacing w:line="360" w:lineRule="auto"/>
        <w:jc w:val="center"/>
        <w:rPr>
          <w:rFonts w:cs="Helvetica"/>
          <w:szCs w:val="24"/>
        </w:rPr>
      </w:pPr>
      <w:r w:rsidRPr="007D5639">
        <w:rPr>
          <w:rFonts w:cs="Helvetica"/>
          <w:szCs w:val="24"/>
        </w:rPr>
        <w:t>Northern Territory of Australia</w:t>
      </w:r>
    </w:p>
    <w:p w:rsidR="000D59A8" w:rsidRPr="00FD6C18" w:rsidRDefault="00132BDB" w:rsidP="00132BDB">
      <w:pPr>
        <w:spacing w:line="360" w:lineRule="auto"/>
        <w:jc w:val="center"/>
        <w:rPr>
          <w:rFonts w:cs="Helvetica"/>
          <w:b/>
          <w:i/>
          <w:szCs w:val="24"/>
        </w:rPr>
      </w:pPr>
      <w:r w:rsidRPr="00FD6C18">
        <w:rPr>
          <w:rFonts w:cs="Helvetica"/>
          <w:b/>
          <w:i/>
          <w:szCs w:val="24"/>
        </w:rPr>
        <w:t>Associations Act</w:t>
      </w:r>
    </w:p>
    <w:p w:rsidR="000D59A8" w:rsidRPr="00132BDB" w:rsidRDefault="000D59A8" w:rsidP="00132BDB">
      <w:pPr>
        <w:spacing w:line="360" w:lineRule="auto"/>
        <w:jc w:val="both"/>
        <w:rPr>
          <w:rFonts w:cs="Helvetica"/>
          <w:szCs w:val="24"/>
        </w:rPr>
      </w:pPr>
      <w:r w:rsidRPr="00132BDB">
        <w:rPr>
          <w:rFonts w:cs="Helvetica"/>
          <w:szCs w:val="24"/>
        </w:rPr>
        <w:t xml:space="preserve">Notice is hereby given that Young </w:t>
      </w:r>
      <w:proofErr w:type="spellStart"/>
      <w:r w:rsidRPr="00132BDB">
        <w:rPr>
          <w:rFonts w:cs="Helvetica"/>
          <w:szCs w:val="24"/>
        </w:rPr>
        <w:t>Mens</w:t>
      </w:r>
      <w:proofErr w:type="spellEnd"/>
      <w:r w:rsidRPr="00132BDB">
        <w:rPr>
          <w:rFonts w:cs="Helvetica"/>
          <w:szCs w:val="24"/>
        </w:rPr>
        <w:t xml:space="preserve"> Christian Association Katherine </w:t>
      </w:r>
      <w:proofErr w:type="spellStart"/>
      <w:r w:rsidRPr="00132BDB">
        <w:rPr>
          <w:rFonts w:cs="Helvetica"/>
          <w:szCs w:val="24"/>
        </w:rPr>
        <w:t>Inc</w:t>
      </w:r>
      <w:proofErr w:type="spellEnd"/>
      <w:r w:rsidRPr="00132BDB">
        <w:rPr>
          <w:rFonts w:cs="Helvetica"/>
          <w:szCs w:val="24"/>
        </w:rPr>
        <w:t xml:space="preserve"> ABN 37</w:t>
      </w:r>
      <w:r w:rsidR="00095F43">
        <w:rPr>
          <w:rFonts w:cs="Helvetica"/>
          <w:szCs w:val="24"/>
        </w:rPr>
        <w:t> </w:t>
      </w:r>
      <w:r w:rsidRPr="00132BDB">
        <w:rPr>
          <w:rFonts w:cs="Helvetica"/>
          <w:szCs w:val="24"/>
        </w:rPr>
        <w:t xml:space="preserve">144 871 995 has passed a resolution in accordance with its constitution: </w:t>
      </w:r>
    </w:p>
    <w:p w:rsidR="000D59A8" w:rsidRPr="00132BDB" w:rsidRDefault="000D59A8" w:rsidP="00132BDB">
      <w:pPr>
        <w:pStyle w:val="ListParagraph"/>
        <w:numPr>
          <w:ilvl w:val="0"/>
          <w:numId w:val="30"/>
        </w:numPr>
        <w:spacing w:after="160" w:line="360" w:lineRule="auto"/>
        <w:jc w:val="both"/>
        <w:rPr>
          <w:rFonts w:cs="Helvetica"/>
          <w:szCs w:val="24"/>
        </w:rPr>
      </w:pPr>
      <w:r w:rsidRPr="00132BDB">
        <w:rPr>
          <w:rFonts w:cs="Helvetica"/>
          <w:szCs w:val="24"/>
        </w:rPr>
        <w:t xml:space="preserve">pursuant to section 54 of the Associations Act, determining subject to section 110 of the Associations Act, to transfer all of its real and personal property </w:t>
      </w:r>
      <w:r w:rsidRPr="00132BDB">
        <w:rPr>
          <w:rFonts w:eastAsia="Times New Roman" w:cs="Helvetica"/>
          <w:szCs w:val="24"/>
        </w:rPr>
        <w:t>(other than “prescribed property” as that term is defined in the Associations Act)</w:t>
      </w:r>
      <w:r w:rsidRPr="00132BDB">
        <w:rPr>
          <w:rFonts w:cs="Helvetica"/>
          <w:szCs w:val="24"/>
        </w:rPr>
        <w:t xml:space="preserve"> to The Young Men’s Christian Association of the Northern Territory Ltd. ACN 616 111 463, </w:t>
      </w:r>
      <w:r w:rsidRPr="00132BDB">
        <w:rPr>
          <w:rFonts w:eastAsia="Times New Roman" w:cs="Helvetica"/>
          <w:szCs w:val="24"/>
        </w:rPr>
        <w:t xml:space="preserve">subject to YMCA of Central Australia Inc. ABN 13 381 977 987 resolving to transfer all of its real and personal property (other than “prescribed property”) </w:t>
      </w:r>
      <w:r w:rsidRPr="00132BDB">
        <w:rPr>
          <w:rFonts w:cs="Helvetica"/>
          <w:szCs w:val="24"/>
        </w:rPr>
        <w:t>to The Young Men’s Christian Association of the Northern Territory Ltd. ACN 616 111 463.</w:t>
      </w:r>
    </w:p>
    <w:p w:rsidR="000D59A8" w:rsidRPr="00132BDB" w:rsidRDefault="000D59A8" w:rsidP="00132BDB">
      <w:pPr>
        <w:pStyle w:val="ListParagraph"/>
        <w:numPr>
          <w:ilvl w:val="0"/>
          <w:numId w:val="30"/>
        </w:numPr>
        <w:spacing w:after="160" w:line="360" w:lineRule="auto"/>
        <w:jc w:val="both"/>
        <w:rPr>
          <w:rFonts w:cs="Helvetica"/>
          <w:szCs w:val="24"/>
        </w:rPr>
      </w:pPr>
      <w:r w:rsidRPr="00132BDB">
        <w:rPr>
          <w:rFonts w:eastAsia="Times New Roman" w:cs="Helvetica"/>
          <w:szCs w:val="24"/>
        </w:rPr>
        <w:t xml:space="preserve">subject to section 110 of the Associations Act and receiving written consent from the Minister, determining to transfer all of its “prescribed property” (as that term is defined in section 4 of the Act) </w:t>
      </w:r>
      <w:r w:rsidRPr="00132BDB">
        <w:rPr>
          <w:rFonts w:cs="Helvetica"/>
          <w:szCs w:val="24"/>
        </w:rPr>
        <w:t>to The Young Men’s Christian Association of the Northern Territory Ltd. ACN 616 111 463</w:t>
      </w:r>
      <w:r w:rsidRPr="00132BDB">
        <w:rPr>
          <w:rFonts w:eastAsia="Times New Roman" w:cs="Helvetica"/>
          <w:szCs w:val="24"/>
        </w:rPr>
        <w:t>, subject to YMCA of Central Australia Inc. ABN 13 381 977 987 resolving to transfer all of its real and personal property (other than “prescribed property”) to The Young Men’s Christian Association of the Northern Territory Ltd. ACN 616 111 463</w:t>
      </w:r>
      <w:r w:rsidRPr="00132BDB">
        <w:rPr>
          <w:rFonts w:cs="Helvetica"/>
          <w:szCs w:val="24"/>
        </w:rPr>
        <w:t>.</w:t>
      </w:r>
    </w:p>
    <w:p w:rsidR="000D59A8" w:rsidRPr="00132BDB" w:rsidRDefault="000D59A8" w:rsidP="00220F31">
      <w:pPr>
        <w:spacing w:before="240" w:after="240" w:line="360" w:lineRule="auto"/>
        <w:rPr>
          <w:rFonts w:cs="Helvetica"/>
          <w:szCs w:val="24"/>
        </w:rPr>
      </w:pPr>
      <w:r w:rsidRPr="00132BDB">
        <w:rPr>
          <w:rFonts w:cs="Helvetica"/>
          <w:szCs w:val="24"/>
        </w:rPr>
        <w:t>Dated: 16 December 2016</w:t>
      </w:r>
    </w:p>
    <w:p w:rsidR="000D59A8" w:rsidRPr="00132BDB" w:rsidRDefault="000D59A8" w:rsidP="000D59A8">
      <w:pPr>
        <w:jc w:val="right"/>
        <w:rPr>
          <w:rFonts w:cs="Helvetica"/>
          <w:szCs w:val="24"/>
        </w:rPr>
      </w:pPr>
      <w:r w:rsidRPr="00132BDB">
        <w:rPr>
          <w:rFonts w:cs="Helvetica"/>
          <w:noProof/>
          <w:szCs w:val="24"/>
          <w:lang w:val="en-AU" w:eastAsia="en-AU"/>
        </w:rPr>
        <w:drawing>
          <wp:inline distT="0" distB="0" distL="0" distR="0" wp14:anchorId="21284C86" wp14:editId="220C7B89">
            <wp:extent cx="1314056" cy="6186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17084" cy="620055"/>
                    </a:xfrm>
                    <a:prstGeom prst="rect">
                      <a:avLst/>
                    </a:prstGeom>
                  </pic:spPr>
                </pic:pic>
              </a:graphicData>
            </a:graphic>
          </wp:inline>
        </w:drawing>
      </w:r>
    </w:p>
    <w:p w:rsidR="000D59A8" w:rsidRPr="00132BDB" w:rsidRDefault="000D59A8" w:rsidP="00220F31">
      <w:pPr>
        <w:spacing w:before="240"/>
        <w:jc w:val="right"/>
        <w:rPr>
          <w:rFonts w:cs="Helvetica"/>
          <w:szCs w:val="24"/>
        </w:rPr>
      </w:pPr>
      <w:r w:rsidRPr="00132BDB">
        <w:rPr>
          <w:rFonts w:cs="Helvetica"/>
          <w:szCs w:val="24"/>
        </w:rPr>
        <w:t xml:space="preserve">Tammy </w:t>
      </w:r>
      <w:proofErr w:type="spellStart"/>
      <w:r w:rsidRPr="00132BDB">
        <w:rPr>
          <w:rFonts w:cs="Helvetica"/>
          <w:szCs w:val="24"/>
        </w:rPr>
        <w:t>Frean</w:t>
      </w:r>
      <w:proofErr w:type="spellEnd"/>
    </w:p>
    <w:p w:rsidR="000D59A8" w:rsidRPr="00132BDB" w:rsidRDefault="000D59A8" w:rsidP="000D59A8">
      <w:pPr>
        <w:jc w:val="right"/>
        <w:rPr>
          <w:rFonts w:cs="Helvetica"/>
          <w:szCs w:val="24"/>
        </w:rPr>
      </w:pPr>
      <w:r w:rsidRPr="00132BDB">
        <w:rPr>
          <w:rFonts w:cs="Helvetica"/>
          <w:szCs w:val="24"/>
        </w:rPr>
        <w:t>Chief Executive Officer</w:t>
      </w:r>
    </w:p>
    <w:p w:rsidR="000D59A8" w:rsidRPr="00132BDB" w:rsidRDefault="000D59A8" w:rsidP="000D59A8">
      <w:pPr>
        <w:jc w:val="right"/>
        <w:rPr>
          <w:rFonts w:cs="Helvetica"/>
          <w:szCs w:val="24"/>
        </w:rPr>
      </w:pPr>
      <w:r w:rsidRPr="00132BDB">
        <w:rPr>
          <w:rFonts w:cs="Helvetica"/>
          <w:szCs w:val="24"/>
        </w:rPr>
        <w:t xml:space="preserve">Young </w:t>
      </w:r>
      <w:proofErr w:type="spellStart"/>
      <w:r w:rsidRPr="00132BDB">
        <w:rPr>
          <w:rFonts w:cs="Helvetica"/>
          <w:szCs w:val="24"/>
        </w:rPr>
        <w:t>Mens</w:t>
      </w:r>
      <w:proofErr w:type="spellEnd"/>
      <w:r w:rsidRPr="00132BDB">
        <w:rPr>
          <w:rFonts w:cs="Helvetica"/>
          <w:szCs w:val="24"/>
        </w:rPr>
        <w:t xml:space="preserve"> Christian Association Katherine </w:t>
      </w:r>
      <w:proofErr w:type="spellStart"/>
      <w:r w:rsidRPr="00132BDB">
        <w:rPr>
          <w:rFonts w:cs="Helvetica"/>
          <w:szCs w:val="24"/>
        </w:rPr>
        <w:t>Inc</w:t>
      </w:r>
      <w:proofErr w:type="spellEnd"/>
    </w:p>
    <w:p w:rsidR="000D59A8" w:rsidRPr="00132BDB" w:rsidRDefault="000D59A8" w:rsidP="000D59A8">
      <w:pPr>
        <w:rPr>
          <w:rFonts w:cs="Helvetica"/>
          <w:szCs w:val="24"/>
        </w:rPr>
      </w:pPr>
      <w:r w:rsidRPr="00132BDB">
        <w:rPr>
          <w:rFonts w:cs="Helvetica"/>
          <w:szCs w:val="24"/>
        </w:rPr>
        <w:br w:type="page"/>
      </w:r>
    </w:p>
    <w:p w:rsidR="000D59A8" w:rsidRPr="007D5639" w:rsidRDefault="000D59A8" w:rsidP="007D5639">
      <w:pPr>
        <w:spacing w:line="360" w:lineRule="auto"/>
        <w:jc w:val="center"/>
        <w:rPr>
          <w:rFonts w:cs="Helvetica"/>
          <w:szCs w:val="24"/>
        </w:rPr>
      </w:pPr>
      <w:r w:rsidRPr="007D5639">
        <w:rPr>
          <w:rFonts w:cs="Helvetica"/>
          <w:szCs w:val="24"/>
        </w:rPr>
        <w:lastRenderedPageBreak/>
        <w:t>Notice pursuant to section 54 of the</w:t>
      </w:r>
    </w:p>
    <w:p w:rsidR="000D59A8" w:rsidRPr="007D5639" w:rsidRDefault="007D5639" w:rsidP="007D5639">
      <w:pPr>
        <w:spacing w:line="360" w:lineRule="auto"/>
        <w:jc w:val="center"/>
        <w:rPr>
          <w:rFonts w:cs="Helvetica"/>
          <w:szCs w:val="24"/>
        </w:rPr>
      </w:pPr>
      <w:r w:rsidRPr="007D5639">
        <w:rPr>
          <w:rFonts w:cs="Helvetica"/>
          <w:szCs w:val="24"/>
        </w:rPr>
        <w:t>Northern Territory of Australia</w:t>
      </w:r>
    </w:p>
    <w:p w:rsidR="000D59A8" w:rsidRPr="00FD6C18" w:rsidRDefault="007D5639" w:rsidP="007D5639">
      <w:pPr>
        <w:spacing w:line="360" w:lineRule="auto"/>
        <w:jc w:val="center"/>
        <w:rPr>
          <w:rFonts w:cs="Helvetica"/>
          <w:b/>
          <w:i/>
          <w:szCs w:val="24"/>
        </w:rPr>
      </w:pPr>
      <w:r w:rsidRPr="00FD6C18">
        <w:rPr>
          <w:rFonts w:cs="Helvetica"/>
          <w:b/>
          <w:i/>
          <w:szCs w:val="24"/>
        </w:rPr>
        <w:t>Associations Act</w:t>
      </w:r>
    </w:p>
    <w:p w:rsidR="000D59A8" w:rsidRPr="007D5639" w:rsidRDefault="000D59A8" w:rsidP="007D5639">
      <w:pPr>
        <w:spacing w:line="360" w:lineRule="auto"/>
        <w:jc w:val="both"/>
        <w:rPr>
          <w:rFonts w:cs="Helvetica"/>
          <w:szCs w:val="24"/>
        </w:rPr>
      </w:pPr>
      <w:r w:rsidRPr="007D5639">
        <w:rPr>
          <w:rFonts w:cs="Helvetica"/>
          <w:szCs w:val="24"/>
        </w:rPr>
        <w:t xml:space="preserve">Notice is hereby given that YMCA of the Top End Inc. ABN 70 566 158 706 has passed a resolution in accordance with its constitution: </w:t>
      </w:r>
    </w:p>
    <w:p w:rsidR="000D59A8" w:rsidRPr="007D5639" w:rsidRDefault="000D59A8" w:rsidP="007D5639">
      <w:pPr>
        <w:pStyle w:val="ListParagraph"/>
        <w:numPr>
          <w:ilvl w:val="0"/>
          <w:numId w:val="30"/>
        </w:numPr>
        <w:spacing w:after="160" w:line="360" w:lineRule="auto"/>
        <w:jc w:val="both"/>
        <w:rPr>
          <w:rFonts w:cs="Helvetica"/>
          <w:szCs w:val="24"/>
        </w:rPr>
      </w:pPr>
      <w:r w:rsidRPr="007D5639">
        <w:rPr>
          <w:rFonts w:cs="Helvetica"/>
          <w:szCs w:val="24"/>
        </w:rPr>
        <w:t xml:space="preserve">pursuant to section 54 of the Associations Act, determining subject to section 110 of the Associations Act, to transfer all of its real and personal property </w:t>
      </w:r>
      <w:r w:rsidRPr="007D5639">
        <w:rPr>
          <w:rFonts w:eastAsia="Times New Roman" w:cs="Helvetica"/>
          <w:szCs w:val="24"/>
        </w:rPr>
        <w:t>(other than “prescribed property” as that term is defined in the Associations Act)</w:t>
      </w:r>
      <w:r w:rsidRPr="007D5639">
        <w:rPr>
          <w:rFonts w:cs="Helvetica"/>
          <w:szCs w:val="24"/>
        </w:rPr>
        <w:t xml:space="preserve"> to The Young Men’s Christian Association of the Northern Territory Ltd. ACN 616 111 463, </w:t>
      </w:r>
      <w:r w:rsidRPr="007D5639">
        <w:rPr>
          <w:rFonts w:eastAsia="Times New Roman" w:cs="Helvetica"/>
          <w:szCs w:val="24"/>
        </w:rPr>
        <w:t xml:space="preserve">subject to YMCA of Central Australia Inc. ABN 13 381 977 987 resolving to transfer all of its real and personal property (other than “prescribed property”) </w:t>
      </w:r>
      <w:r w:rsidRPr="007D5639">
        <w:rPr>
          <w:rFonts w:cs="Helvetica"/>
          <w:szCs w:val="24"/>
        </w:rPr>
        <w:t>to The Young Men’s Christian Association of the Northern Territory Ltd. ACN 616 111 463.</w:t>
      </w:r>
    </w:p>
    <w:p w:rsidR="000D59A8" w:rsidRPr="007D5639" w:rsidRDefault="000D59A8" w:rsidP="007D5639">
      <w:pPr>
        <w:pStyle w:val="ListParagraph"/>
        <w:numPr>
          <w:ilvl w:val="0"/>
          <w:numId w:val="30"/>
        </w:numPr>
        <w:spacing w:after="160" w:line="360" w:lineRule="auto"/>
        <w:jc w:val="both"/>
        <w:rPr>
          <w:rFonts w:cs="Helvetica"/>
          <w:szCs w:val="24"/>
        </w:rPr>
      </w:pPr>
      <w:r w:rsidRPr="007D5639">
        <w:rPr>
          <w:rFonts w:eastAsia="Times New Roman" w:cs="Helvetica"/>
          <w:szCs w:val="24"/>
        </w:rPr>
        <w:t xml:space="preserve">subject to section 110 of the Associations Act and receiving written consent from the Minister, determining to transfer all of its “prescribed property” (as that term is defined in section 4 of the Act) </w:t>
      </w:r>
      <w:r w:rsidRPr="007D5639">
        <w:rPr>
          <w:rFonts w:cs="Helvetica"/>
          <w:szCs w:val="24"/>
        </w:rPr>
        <w:t>to The Young Men’s Christian Association of the Northern Territory Ltd. ACN 616 111 463</w:t>
      </w:r>
      <w:r w:rsidRPr="007D5639">
        <w:rPr>
          <w:rFonts w:eastAsia="Times New Roman" w:cs="Helvetica"/>
          <w:szCs w:val="24"/>
        </w:rPr>
        <w:t>, subject to YMCA of Central Australia Inc. ABN 13 381 977 987 resolving to transfer all of its real and personal property (other than “prescribed property”) to The Young Men’s Christian Association of the Northern Territory Ltd. ACN 616 111 463</w:t>
      </w:r>
      <w:r w:rsidRPr="007D5639">
        <w:rPr>
          <w:rFonts w:cs="Helvetica"/>
          <w:szCs w:val="24"/>
        </w:rPr>
        <w:t>.</w:t>
      </w:r>
    </w:p>
    <w:p w:rsidR="000D59A8" w:rsidRPr="007D5639" w:rsidRDefault="000D59A8" w:rsidP="004A3596">
      <w:pPr>
        <w:spacing w:before="240" w:after="240" w:line="360" w:lineRule="auto"/>
        <w:rPr>
          <w:rFonts w:cs="Helvetica"/>
          <w:szCs w:val="24"/>
        </w:rPr>
      </w:pPr>
      <w:r w:rsidRPr="007D5639">
        <w:rPr>
          <w:rFonts w:cs="Helvetica"/>
          <w:szCs w:val="24"/>
        </w:rPr>
        <w:t>Dated: 16 December 2016</w:t>
      </w:r>
    </w:p>
    <w:p w:rsidR="000D59A8" w:rsidRPr="007D5639" w:rsidRDefault="000D59A8" w:rsidP="000D59A8">
      <w:pPr>
        <w:jc w:val="right"/>
        <w:rPr>
          <w:rFonts w:cs="Helvetica"/>
          <w:szCs w:val="24"/>
        </w:rPr>
      </w:pPr>
      <w:r w:rsidRPr="007D5639">
        <w:rPr>
          <w:rFonts w:cs="Helvetica"/>
          <w:noProof/>
          <w:szCs w:val="24"/>
          <w:lang w:val="en-AU" w:eastAsia="en-AU"/>
        </w:rPr>
        <w:drawing>
          <wp:inline distT="0" distB="0" distL="0" distR="0" wp14:anchorId="65466DB8" wp14:editId="59EC2287">
            <wp:extent cx="1252538" cy="342882"/>
            <wp:effectExtent l="0" t="0" r="5080" b="635"/>
            <wp:docPr id="3" name="Picture 3" descr="C:\Documents and Settings\sharlene.heywood\Local Settings\Temporary Internet Files\Content.Outlook\TX48DBW2\Ron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lene.heywood\Local Settings\Temporary Internet Files\Content.Outlook\TX48DBW2\RonSignature.gif"/>
                    <pic:cNvPicPr>
                      <a:picLocks noChangeAspect="1" noChangeArrowheads="1"/>
                    </pic:cNvPicPr>
                  </pic:nvPicPr>
                  <pic:blipFill>
                    <a:blip r:embed="rId18" cstate="print"/>
                    <a:stretch>
                      <a:fillRect/>
                    </a:stretch>
                  </pic:blipFill>
                  <pic:spPr bwMode="auto">
                    <a:xfrm>
                      <a:off x="0" y="0"/>
                      <a:ext cx="1258831" cy="344605"/>
                    </a:xfrm>
                    <a:prstGeom prst="rect">
                      <a:avLst/>
                    </a:prstGeom>
                    <a:noFill/>
                    <a:ln w="9525">
                      <a:noFill/>
                      <a:miter lim="800000"/>
                      <a:headEnd/>
                      <a:tailEnd/>
                    </a:ln>
                  </pic:spPr>
                </pic:pic>
              </a:graphicData>
            </a:graphic>
          </wp:inline>
        </w:drawing>
      </w:r>
    </w:p>
    <w:p w:rsidR="000D59A8" w:rsidRPr="007D5639" w:rsidRDefault="000D59A8" w:rsidP="004A3596">
      <w:pPr>
        <w:spacing w:before="240"/>
        <w:jc w:val="right"/>
        <w:rPr>
          <w:rFonts w:cs="Helvetica"/>
          <w:szCs w:val="24"/>
        </w:rPr>
      </w:pPr>
      <w:r w:rsidRPr="007D5639">
        <w:rPr>
          <w:rFonts w:cs="Helvetica"/>
          <w:szCs w:val="24"/>
        </w:rPr>
        <w:t xml:space="preserve">Ronald George </w:t>
      </w:r>
      <w:proofErr w:type="spellStart"/>
      <w:r w:rsidRPr="007D5639">
        <w:rPr>
          <w:rFonts w:cs="Helvetica"/>
          <w:szCs w:val="24"/>
        </w:rPr>
        <w:t>Mell</w:t>
      </w:r>
      <w:proofErr w:type="spellEnd"/>
    </w:p>
    <w:p w:rsidR="000D59A8" w:rsidRPr="007D5639" w:rsidRDefault="000D59A8" w:rsidP="004A3596">
      <w:pPr>
        <w:jc w:val="right"/>
        <w:rPr>
          <w:rFonts w:cs="Helvetica"/>
          <w:szCs w:val="24"/>
        </w:rPr>
      </w:pPr>
      <w:r w:rsidRPr="007D5639">
        <w:rPr>
          <w:rFonts w:cs="Helvetica"/>
          <w:szCs w:val="24"/>
        </w:rPr>
        <w:t>Chief Executive Officer</w:t>
      </w:r>
    </w:p>
    <w:p w:rsidR="000D59A8" w:rsidRPr="007D5639" w:rsidRDefault="000D59A8" w:rsidP="000D59A8">
      <w:pPr>
        <w:jc w:val="right"/>
        <w:rPr>
          <w:rFonts w:cs="Helvetica"/>
          <w:szCs w:val="24"/>
        </w:rPr>
      </w:pPr>
      <w:r w:rsidRPr="007D5639">
        <w:rPr>
          <w:rFonts w:cs="Helvetica"/>
          <w:szCs w:val="24"/>
        </w:rPr>
        <w:t>YMCA Top End Inc.</w:t>
      </w:r>
    </w:p>
    <w:p w:rsidR="000D59A8" w:rsidRPr="007D5639" w:rsidRDefault="000D59A8" w:rsidP="000D59A8">
      <w:pPr>
        <w:jc w:val="right"/>
        <w:rPr>
          <w:rFonts w:cs="Helvetica"/>
          <w:szCs w:val="24"/>
        </w:rPr>
      </w:pPr>
    </w:p>
    <w:p w:rsidR="000D59A8" w:rsidRPr="007D5639" w:rsidRDefault="000D59A8" w:rsidP="000D59A8">
      <w:pPr>
        <w:rPr>
          <w:rFonts w:cs="Helvetica"/>
          <w:szCs w:val="24"/>
        </w:rPr>
      </w:pPr>
      <w:r w:rsidRPr="007D5639">
        <w:rPr>
          <w:rFonts w:cs="Helvetica"/>
          <w:szCs w:val="24"/>
        </w:rPr>
        <w:br w:type="page"/>
      </w:r>
    </w:p>
    <w:p w:rsidR="000D59A8" w:rsidRPr="00095F43" w:rsidRDefault="000D59A8" w:rsidP="004A3596">
      <w:pPr>
        <w:spacing w:line="360" w:lineRule="auto"/>
        <w:jc w:val="center"/>
        <w:rPr>
          <w:rFonts w:cs="Helvetica"/>
          <w:szCs w:val="24"/>
        </w:rPr>
      </w:pPr>
      <w:r w:rsidRPr="00095F43">
        <w:rPr>
          <w:rFonts w:cs="Helvetica"/>
          <w:szCs w:val="24"/>
        </w:rPr>
        <w:lastRenderedPageBreak/>
        <w:t>Notice pursuant to section 54 of the</w:t>
      </w:r>
    </w:p>
    <w:p w:rsidR="000D59A8" w:rsidRPr="00095F43" w:rsidRDefault="004A3596" w:rsidP="004A3596">
      <w:pPr>
        <w:spacing w:line="360" w:lineRule="auto"/>
        <w:jc w:val="center"/>
        <w:rPr>
          <w:rFonts w:cs="Helvetica"/>
          <w:szCs w:val="24"/>
        </w:rPr>
      </w:pPr>
      <w:r w:rsidRPr="00095F43">
        <w:rPr>
          <w:rFonts w:cs="Helvetica"/>
          <w:szCs w:val="24"/>
        </w:rPr>
        <w:t>Northern Territory of Australia</w:t>
      </w:r>
    </w:p>
    <w:p w:rsidR="000D59A8" w:rsidRPr="00FD6C18" w:rsidRDefault="004A3596" w:rsidP="004A3596">
      <w:pPr>
        <w:spacing w:line="360" w:lineRule="auto"/>
        <w:jc w:val="center"/>
        <w:rPr>
          <w:rFonts w:cs="Helvetica"/>
          <w:b/>
          <w:i/>
          <w:szCs w:val="24"/>
        </w:rPr>
      </w:pPr>
      <w:r w:rsidRPr="00FD6C18">
        <w:rPr>
          <w:rFonts w:cs="Helvetica"/>
          <w:b/>
          <w:i/>
          <w:szCs w:val="24"/>
        </w:rPr>
        <w:t>Associations Act</w:t>
      </w:r>
    </w:p>
    <w:p w:rsidR="000D59A8" w:rsidRPr="004A3596" w:rsidRDefault="000D59A8" w:rsidP="004A3596">
      <w:pPr>
        <w:spacing w:line="360" w:lineRule="auto"/>
        <w:jc w:val="both"/>
        <w:rPr>
          <w:rFonts w:cs="Helvetica"/>
          <w:szCs w:val="24"/>
        </w:rPr>
      </w:pPr>
      <w:r w:rsidRPr="004A3596">
        <w:rPr>
          <w:rFonts w:cs="Helvetica"/>
          <w:szCs w:val="24"/>
        </w:rPr>
        <w:t xml:space="preserve">Notice is hereby given that YMCA of the Top End Community Services </w:t>
      </w:r>
      <w:proofErr w:type="spellStart"/>
      <w:r w:rsidRPr="004A3596">
        <w:rPr>
          <w:rFonts w:cs="Helvetica"/>
          <w:szCs w:val="24"/>
        </w:rPr>
        <w:t>Inc</w:t>
      </w:r>
      <w:proofErr w:type="spellEnd"/>
      <w:r w:rsidRPr="004A3596">
        <w:rPr>
          <w:rFonts w:cs="Helvetica"/>
          <w:szCs w:val="24"/>
        </w:rPr>
        <w:t xml:space="preserve"> ABN 85</w:t>
      </w:r>
      <w:r w:rsidR="00095F43">
        <w:rPr>
          <w:rFonts w:cs="Helvetica"/>
          <w:szCs w:val="24"/>
        </w:rPr>
        <w:t> </w:t>
      </w:r>
      <w:r w:rsidRPr="004A3596">
        <w:rPr>
          <w:rFonts w:cs="Helvetica"/>
          <w:szCs w:val="24"/>
        </w:rPr>
        <w:t xml:space="preserve">146 189 249 has passed a resolution in accordance with its constitution: </w:t>
      </w:r>
    </w:p>
    <w:p w:rsidR="000D59A8" w:rsidRPr="004A3596" w:rsidRDefault="000D59A8" w:rsidP="004A3596">
      <w:pPr>
        <w:pStyle w:val="ListParagraph"/>
        <w:numPr>
          <w:ilvl w:val="0"/>
          <w:numId w:val="30"/>
        </w:numPr>
        <w:spacing w:after="160" w:line="360" w:lineRule="auto"/>
        <w:jc w:val="both"/>
        <w:rPr>
          <w:rFonts w:cs="Helvetica"/>
          <w:szCs w:val="24"/>
        </w:rPr>
      </w:pPr>
      <w:r w:rsidRPr="004A3596">
        <w:rPr>
          <w:rFonts w:cs="Helvetica"/>
          <w:szCs w:val="24"/>
        </w:rPr>
        <w:t xml:space="preserve">pursuant to section 54 of the Associations Act, determining subject to section 110 of the Associations Act, to transfer all of its real and personal property </w:t>
      </w:r>
      <w:r w:rsidRPr="004A3596">
        <w:rPr>
          <w:rFonts w:eastAsia="Times New Roman" w:cs="Helvetica"/>
          <w:szCs w:val="24"/>
        </w:rPr>
        <w:t>(other than “prescribed property” as that term is defined in the Associations Act) to The YMCA of the Northern Territory Youth &amp; Community Services Limited ACN 616 412 072,</w:t>
      </w:r>
      <w:r w:rsidRPr="004A3596">
        <w:rPr>
          <w:rFonts w:cs="Helvetica"/>
          <w:szCs w:val="24"/>
        </w:rPr>
        <w:t xml:space="preserve"> </w:t>
      </w:r>
      <w:r w:rsidRPr="004A3596">
        <w:rPr>
          <w:rFonts w:eastAsia="Times New Roman" w:cs="Helvetica"/>
          <w:szCs w:val="24"/>
        </w:rPr>
        <w:t xml:space="preserve">subject to YMCA of Central Australia Inc. ABN 13 381 977 987 resolving to transfer all of its real and personal property (other than “prescribed property”) </w:t>
      </w:r>
      <w:r w:rsidRPr="004A3596">
        <w:rPr>
          <w:rFonts w:cs="Helvetica"/>
          <w:szCs w:val="24"/>
        </w:rPr>
        <w:t>to The Young Men’s Christian Association of the Northern Territory Ltd. ACN 616 111 463.</w:t>
      </w:r>
    </w:p>
    <w:p w:rsidR="000D59A8" w:rsidRPr="004A3596" w:rsidRDefault="000D59A8" w:rsidP="004A3596">
      <w:pPr>
        <w:pStyle w:val="ListParagraph"/>
        <w:numPr>
          <w:ilvl w:val="0"/>
          <w:numId w:val="30"/>
        </w:numPr>
        <w:spacing w:after="160" w:line="360" w:lineRule="auto"/>
        <w:jc w:val="both"/>
        <w:rPr>
          <w:rFonts w:cs="Helvetica"/>
          <w:szCs w:val="24"/>
        </w:rPr>
      </w:pPr>
      <w:r w:rsidRPr="004A3596">
        <w:rPr>
          <w:rFonts w:eastAsia="Times New Roman" w:cs="Helvetica"/>
          <w:szCs w:val="24"/>
        </w:rPr>
        <w:t xml:space="preserve">subject to section 110 of the Associations Act and receiving written consent from the Minister, determining to transfer all of its “prescribed property” (as that term is defined in section 4 of the Act) </w:t>
      </w:r>
      <w:r w:rsidRPr="004A3596">
        <w:rPr>
          <w:rFonts w:cs="Helvetica"/>
          <w:szCs w:val="24"/>
        </w:rPr>
        <w:t xml:space="preserve">to </w:t>
      </w:r>
      <w:r w:rsidRPr="004A3596">
        <w:rPr>
          <w:rFonts w:eastAsia="Times New Roman" w:cs="Helvetica"/>
          <w:szCs w:val="24"/>
        </w:rPr>
        <w:t>The YMCA of the Northern Territory Youth &amp; Community Services Limited ACN 616 412 072, subject to YMCA of Central Australia Inc. ABN 13 381 977 987 resolving to transfer all of its real and personal property (other than “prescribed property”) to The Young Men’s Christian Association of the Northern Territory Ltd. ACN 616 111 463</w:t>
      </w:r>
      <w:r w:rsidRPr="004A3596">
        <w:rPr>
          <w:rFonts w:cs="Helvetica"/>
          <w:szCs w:val="24"/>
        </w:rPr>
        <w:t>.</w:t>
      </w:r>
    </w:p>
    <w:p w:rsidR="000D59A8" w:rsidRPr="004A3596" w:rsidRDefault="000D59A8" w:rsidP="00C43162">
      <w:pPr>
        <w:spacing w:before="240" w:after="240" w:line="360" w:lineRule="auto"/>
        <w:rPr>
          <w:rFonts w:cs="Helvetica"/>
          <w:szCs w:val="24"/>
        </w:rPr>
      </w:pPr>
      <w:r w:rsidRPr="004A3596">
        <w:rPr>
          <w:rFonts w:cs="Helvetica"/>
          <w:szCs w:val="24"/>
        </w:rPr>
        <w:t>Dated: 16 December 2016</w:t>
      </w:r>
    </w:p>
    <w:p w:rsidR="000D59A8" w:rsidRPr="004A3596" w:rsidRDefault="000D59A8" w:rsidP="00C43162">
      <w:pPr>
        <w:jc w:val="right"/>
        <w:rPr>
          <w:rFonts w:cs="Helvetica"/>
          <w:szCs w:val="24"/>
        </w:rPr>
      </w:pPr>
      <w:r w:rsidRPr="004A3596">
        <w:rPr>
          <w:rFonts w:cs="Helvetica"/>
          <w:noProof/>
          <w:szCs w:val="24"/>
          <w:lang w:val="en-AU" w:eastAsia="en-AU"/>
        </w:rPr>
        <w:drawing>
          <wp:inline distT="0" distB="0" distL="0" distR="0" wp14:anchorId="5886B9D5" wp14:editId="43941531">
            <wp:extent cx="1252538" cy="342882"/>
            <wp:effectExtent l="0" t="0" r="5080" b="635"/>
            <wp:docPr id="4" name="Picture 4" descr="C:\Documents and Settings\sharlene.heywood\Local Settings\Temporary Internet Files\Content.Outlook\TX48DBW2\Ron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lene.heywood\Local Settings\Temporary Internet Files\Content.Outlook\TX48DBW2\RonSignature.gif"/>
                    <pic:cNvPicPr>
                      <a:picLocks noChangeAspect="1" noChangeArrowheads="1"/>
                    </pic:cNvPicPr>
                  </pic:nvPicPr>
                  <pic:blipFill>
                    <a:blip r:embed="rId18" cstate="print"/>
                    <a:stretch>
                      <a:fillRect/>
                    </a:stretch>
                  </pic:blipFill>
                  <pic:spPr bwMode="auto">
                    <a:xfrm>
                      <a:off x="0" y="0"/>
                      <a:ext cx="1258831" cy="344605"/>
                    </a:xfrm>
                    <a:prstGeom prst="rect">
                      <a:avLst/>
                    </a:prstGeom>
                    <a:noFill/>
                    <a:ln w="9525">
                      <a:noFill/>
                      <a:miter lim="800000"/>
                      <a:headEnd/>
                      <a:tailEnd/>
                    </a:ln>
                  </pic:spPr>
                </pic:pic>
              </a:graphicData>
            </a:graphic>
          </wp:inline>
        </w:drawing>
      </w:r>
    </w:p>
    <w:p w:rsidR="000D59A8" w:rsidRPr="004A3596" w:rsidRDefault="000D59A8" w:rsidP="00C43162">
      <w:pPr>
        <w:spacing w:before="240"/>
        <w:jc w:val="right"/>
        <w:rPr>
          <w:rFonts w:cs="Helvetica"/>
          <w:szCs w:val="24"/>
        </w:rPr>
      </w:pPr>
      <w:r w:rsidRPr="004A3596">
        <w:rPr>
          <w:rFonts w:cs="Helvetica"/>
          <w:szCs w:val="24"/>
        </w:rPr>
        <w:t xml:space="preserve">Ronald George </w:t>
      </w:r>
      <w:proofErr w:type="spellStart"/>
      <w:r w:rsidRPr="004A3596">
        <w:rPr>
          <w:rFonts w:cs="Helvetica"/>
          <w:szCs w:val="24"/>
        </w:rPr>
        <w:t>Mell</w:t>
      </w:r>
      <w:proofErr w:type="spellEnd"/>
    </w:p>
    <w:p w:rsidR="000D59A8" w:rsidRPr="004A3596" w:rsidRDefault="000D59A8" w:rsidP="000D59A8">
      <w:pPr>
        <w:jc w:val="right"/>
        <w:rPr>
          <w:rFonts w:cs="Helvetica"/>
          <w:szCs w:val="24"/>
        </w:rPr>
      </w:pPr>
      <w:r w:rsidRPr="004A3596">
        <w:rPr>
          <w:rFonts w:cs="Helvetica"/>
          <w:szCs w:val="24"/>
        </w:rPr>
        <w:t>Chief Executive Officer</w:t>
      </w:r>
    </w:p>
    <w:p w:rsidR="000D59A8" w:rsidRPr="004A3596" w:rsidRDefault="000D59A8" w:rsidP="000D59A8">
      <w:pPr>
        <w:jc w:val="right"/>
        <w:rPr>
          <w:rFonts w:cs="Helvetica"/>
          <w:szCs w:val="24"/>
        </w:rPr>
      </w:pPr>
      <w:r w:rsidRPr="004A3596">
        <w:rPr>
          <w:rFonts w:cs="Helvetica"/>
          <w:szCs w:val="24"/>
        </w:rPr>
        <w:t>YMCA of the Top End Community Services Inc.</w:t>
      </w:r>
    </w:p>
    <w:p w:rsidR="009E4BC8" w:rsidRPr="007D5639" w:rsidRDefault="009E4BC8" w:rsidP="009E4BC8">
      <w:pPr>
        <w:rPr>
          <w:rFonts w:cs="Helvetica"/>
          <w:szCs w:val="24"/>
        </w:rPr>
      </w:pPr>
      <w:r w:rsidRPr="007D5639">
        <w:rPr>
          <w:rFonts w:cs="Helvetica"/>
          <w:szCs w:val="24"/>
        </w:rPr>
        <w:br w:type="page"/>
      </w:r>
    </w:p>
    <w:p w:rsidR="009E4BC8" w:rsidRPr="009E4BC8" w:rsidRDefault="005903BE" w:rsidP="00DC2928">
      <w:pPr>
        <w:pStyle w:val="Title"/>
        <w:spacing w:before="0"/>
        <w:rPr>
          <w:rFonts w:cs="Helvetica"/>
          <w:sz w:val="24"/>
          <w:szCs w:val="24"/>
        </w:rPr>
      </w:pPr>
      <w:bookmarkStart w:id="0" w:name="_GoBack"/>
      <w:bookmarkEnd w:id="0"/>
      <w:r>
        <w:rPr>
          <w:rFonts w:cs="Helvetica"/>
          <w:sz w:val="24"/>
          <w:szCs w:val="24"/>
        </w:rPr>
        <w:lastRenderedPageBreak/>
        <w:t>Assent t</w:t>
      </w:r>
      <w:r w:rsidR="009E4BC8" w:rsidRPr="009E4BC8">
        <w:rPr>
          <w:rFonts w:cs="Helvetica"/>
          <w:sz w:val="24"/>
          <w:szCs w:val="24"/>
        </w:rPr>
        <w:t>o Proposed Laws</w:t>
      </w:r>
    </w:p>
    <w:p w:rsidR="009E4BC8" w:rsidRPr="009E4BC8" w:rsidRDefault="009E4BC8" w:rsidP="00AE64DC">
      <w:pPr>
        <w:spacing w:before="240" w:after="240"/>
        <w:jc w:val="both"/>
        <w:rPr>
          <w:rFonts w:cs="Helvetica"/>
          <w:szCs w:val="24"/>
        </w:rPr>
      </w:pPr>
      <w:r w:rsidRPr="009E4BC8">
        <w:rPr>
          <w:rFonts w:cs="Helvetica"/>
          <w:szCs w:val="24"/>
        </w:rPr>
        <w:t xml:space="preserve">His </w:t>
      </w:r>
      <w:proofErr w:type="spellStart"/>
      <w:r w:rsidRPr="009E4BC8">
        <w:rPr>
          <w:rFonts w:cs="Helvetica"/>
          <w:szCs w:val="24"/>
        </w:rPr>
        <w:t>Honour</w:t>
      </w:r>
      <w:proofErr w:type="spellEnd"/>
      <w:r w:rsidRPr="009E4BC8">
        <w:rPr>
          <w:rFonts w:cs="Helvetica"/>
          <w:szCs w:val="24"/>
        </w:rPr>
        <w:t xml:space="preserve"> the Administrator assented to the following proposed law:</w:t>
      </w:r>
    </w:p>
    <w:p w:rsidR="009E4BC8" w:rsidRPr="009E4BC8" w:rsidRDefault="009E4BC8" w:rsidP="00AE64DC">
      <w:pPr>
        <w:spacing w:before="200"/>
        <w:jc w:val="both"/>
        <w:rPr>
          <w:rFonts w:cs="Helvetica"/>
          <w:b/>
          <w:szCs w:val="24"/>
        </w:rPr>
      </w:pPr>
      <w:r w:rsidRPr="009E4BC8">
        <w:rPr>
          <w:rFonts w:cs="Helvetica"/>
          <w:b/>
          <w:szCs w:val="24"/>
        </w:rPr>
        <w:t>20 December 2016</w:t>
      </w:r>
    </w:p>
    <w:p w:rsidR="009E4BC8" w:rsidRPr="009E4BC8" w:rsidRDefault="009E4BC8" w:rsidP="00AE64DC">
      <w:pPr>
        <w:ind w:left="284" w:hanging="284"/>
        <w:jc w:val="both"/>
        <w:rPr>
          <w:rFonts w:cs="Helvetica"/>
          <w:b/>
          <w:szCs w:val="24"/>
        </w:rPr>
      </w:pPr>
      <w:r w:rsidRPr="009E4BC8">
        <w:rPr>
          <w:rFonts w:cs="Helvetica"/>
          <w:szCs w:val="24"/>
        </w:rPr>
        <w:t>Public Information Amendment Act 2016</w:t>
      </w:r>
      <w:r w:rsidRPr="009E4BC8">
        <w:rPr>
          <w:rFonts w:cs="Helvetica"/>
          <w:b/>
          <w:szCs w:val="24"/>
        </w:rPr>
        <w:t xml:space="preserve"> (Act No 34 of 2016)</w:t>
      </w:r>
    </w:p>
    <w:p w:rsidR="009E4BC8" w:rsidRPr="009E4BC8" w:rsidRDefault="009E4BC8" w:rsidP="00AE64DC">
      <w:pPr>
        <w:ind w:left="284" w:hanging="284"/>
        <w:jc w:val="both"/>
        <w:rPr>
          <w:rFonts w:cs="Helvetica"/>
          <w:b/>
          <w:szCs w:val="24"/>
        </w:rPr>
      </w:pPr>
      <w:r w:rsidRPr="009E4BC8">
        <w:rPr>
          <w:rFonts w:cs="Helvetica"/>
          <w:szCs w:val="24"/>
        </w:rPr>
        <w:t xml:space="preserve">Stamp Duty Amendment Act 2016 </w:t>
      </w:r>
      <w:r w:rsidRPr="009E4BC8">
        <w:rPr>
          <w:rFonts w:cs="Helvetica"/>
          <w:b/>
          <w:szCs w:val="24"/>
        </w:rPr>
        <w:t>(Act No 35 of 2016)</w:t>
      </w:r>
    </w:p>
    <w:p w:rsidR="009E4BC8" w:rsidRPr="009E4BC8" w:rsidRDefault="009E4BC8" w:rsidP="00AE64DC">
      <w:pPr>
        <w:ind w:left="284" w:hanging="284"/>
        <w:jc w:val="both"/>
        <w:rPr>
          <w:rFonts w:cs="Helvetica"/>
          <w:b/>
          <w:szCs w:val="24"/>
        </w:rPr>
      </w:pPr>
      <w:r w:rsidRPr="009E4BC8">
        <w:rPr>
          <w:rFonts w:cs="Helvetica"/>
          <w:szCs w:val="24"/>
        </w:rPr>
        <w:t xml:space="preserve">Youth Justice Legislation Amendment Act 2016 </w:t>
      </w:r>
      <w:r w:rsidRPr="009E4BC8">
        <w:rPr>
          <w:rFonts w:cs="Helvetica"/>
          <w:b/>
          <w:szCs w:val="24"/>
        </w:rPr>
        <w:t>(Act No 36 of 2016)</w:t>
      </w:r>
    </w:p>
    <w:p w:rsidR="009E4BC8" w:rsidRPr="009E4BC8" w:rsidRDefault="009E4BC8" w:rsidP="00AE64DC">
      <w:pPr>
        <w:spacing w:before="240"/>
        <w:jc w:val="both"/>
        <w:rPr>
          <w:rFonts w:cs="Helvetica"/>
          <w:szCs w:val="24"/>
        </w:rPr>
      </w:pPr>
      <w:r w:rsidRPr="009E4BC8">
        <w:rPr>
          <w:rFonts w:cs="Helvetica"/>
          <w:szCs w:val="24"/>
        </w:rPr>
        <w:t>Yours sincerely</w:t>
      </w:r>
    </w:p>
    <w:p w:rsidR="009E4BC8" w:rsidRPr="009E4BC8" w:rsidRDefault="009E4BC8" w:rsidP="00AE64DC">
      <w:pPr>
        <w:jc w:val="both"/>
        <w:rPr>
          <w:rFonts w:cs="Helvetica"/>
          <w:b/>
          <w:szCs w:val="24"/>
        </w:rPr>
      </w:pPr>
      <w:r w:rsidRPr="009E4BC8">
        <w:rPr>
          <w:rFonts w:cs="Helvetica"/>
          <w:b/>
          <w:szCs w:val="24"/>
        </w:rPr>
        <w:t xml:space="preserve">Marianne </w:t>
      </w:r>
      <w:proofErr w:type="spellStart"/>
      <w:r w:rsidRPr="009E4BC8">
        <w:rPr>
          <w:rFonts w:cs="Helvetica"/>
          <w:b/>
          <w:szCs w:val="24"/>
        </w:rPr>
        <w:t>Conaty</w:t>
      </w:r>
      <w:proofErr w:type="spellEnd"/>
    </w:p>
    <w:p w:rsidR="009E4BC8" w:rsidRPr="009E4BC8" w:rsidRDefault="009E4BC8" w:rsidP="00AE64DC">
      <w:pPr>
        <w:jc w:val="both"/>
        <w:rPr>
          <w:rFonts w:cs="Helvetica"/>
          <w:szCs w:val="24"/>
        </w:rPr>
      </w:pPr>
      <w:r w:rsidRPr="009E4BC8">
        <w:rPr>
          <w:rFonts w:cs="Helvetica"/>
          <w:szCs w:val="24"/>
        </w:rPr>
        <w:t>A/g Clerk of the Legislative Assembly</w:t>
      </w:r>
    </w:p>
    <w:p w:rsidR="009E4BC8" w:rsidRPr="009E4BC8" w:rsidRDefault="009E4BC8" w:rsidP="00AE64DC">
      <w:pPr>
        <w:spacing w:before="200" w:after="200"/>
        <w:jc w:val="both"/>
        <w:rPr>
          <w:rFonts w:cs="Helvetica"/>
          <w:szCs w:val="24"/>
        </w:rPr>
      </w:pPr>
      <w:r w:rsidRPr="009E4BC8">
        <w:rPr>
          <w:rFonts w:cs="Helvetica"/>
          <w:szCs w:val="24"/>
        </w:rPr>
        <w:t>Date</w:t>
      </w:r>
      <w:r w:rsidR="005903BE">
        <w:rPr>
          <w:rFonts w:cs="Helvetica"/>
          <w:szCs w:val="24"/>
        </w:rPr>
        <w:t xml:space="preserve"> 20 </w:t>
      </w:r>
      <w:r w:rsidRPr="009E4BC8">
        <w:rPr>
          <w:rFonts w:cs="Helvetica"/>
          <w:szCs w:val="24"/>
        </w:rPr>
        <w:t>December 2016</w:t>
      </w:r>
    </w:p>
    <w:sectPr w:rsidR="009E4BC8" w:rsidRPr="009E4BC8">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75" w:rsidRDefault="00883575" w:rsidP="00262753">
      <w:r>
        <w:separator/>
      </w:r>
    </w:p>
  </w:endnote>
  <w:endnote w:type="continuationSeparator" w:id="0">
    <w:p w:rsidR="00883575" w:rsidRDefault="00883575"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83575" w:rsidRDefault="0088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1E056E">
    <w:pPr>
      <w:pStyle w:val="Footer"/>
    </w:pPr>
    <w:r>
      <w:t xml:space="preserve">Page </w:t>
    </w:r>
    <w:r>
      <w:fldChar w:fldCharType="begin"/>
    </w:r>
    <w:r>
      <w:instrText xml:space="preserve"> PAGE   \* MERGEFORMAT </w:instrText>
    </w:r>
    <w:r>
      <w:fldChar w:fldCharType="separate"/>
    </w:r>
    <w:r w:rsidR="00DC2928">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75" w:rsidRDefault="00883575" w:rsidP="00262753">
      <w:r>
        <w:separator/>
      </w:r>
    </w:p>
  </w:footnote>
  <w:footnote w:type="continuationSeparator" w:id="0">
    <w:p w:rsidR="00883575" w:rsidRDefault="00883575"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Pr="00217476" w:rsidRDefault="00883575" w:rsidP="001E056E">
    <w:pPr>
      <w:pStyle w:val="Header"/>
    </w:pPr>
    <w:r w:rsidRPr="00246A76">
      <w:t xml:space="preserve">Northern Territory Government Gazette No. </w:t>
    </w:r>
    <w:r w:rsidR="00D31A53">
      <w:t>G51</w:t>
    </w:r>
    <w:r w:rsidRPr="00246A76">
      <w:t xml:space="preserve">, </w:t>
    </w:r>
    <w:r w:rsidR="00D31A53">
      <w:t>21</w:t>
    </w:r>
    <w:r w:rsidR="002E5687">
      <w:t xml:space="preserve"> December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3019AB"/>
    <w:multiLevelType w:val="hybridMultilevel"/>
    <w:tmpl w:val="D2AA5D8E"/>
    <w:lvl w:ilvl="0" w:tplc="0EAC3A6C">
      <w:start w:val="1"/>
      <w:numFmt w:val="bullet"/>
      <w:lvlText w:val=""/>
      <w:lvlJc w:val="left"/>
      <w:pPr>
        <w:ind w:left="360" w:hanging="360"/>
      </w:pPr>
      <w:rPr>
        <w:rFonts w:ascii="Symbol" w:hAnsi="Symbol" w:hint="default"/>
      </w:rPr>
    </w:lvl>
    <w:lvl w:ilvl="1" w:tplc="CA781B4C">
      <w:start w:val="1"/>
      <w:numFmt w:val="bullet"/>
      <w:lvlText w:val="o"/>
      <w:lvlJc w:val="left"/>
      <w:pPr>
        <w:ind w:left="1080" w:hanging="360"/>
      </w:pPr>
      <w:rPr>
        <w:rFonts w:ascii="Courier New" w:hAnsi="Courier New" w:cs="Courier New" w:hint="default"/>
      </w:rPr>
    </w:lvl>
    <w:lvl w:ilvl="2" w:tplc="7B9A2FAE" w:tentative="1">
      <w:start w:val="1"/>
      <w:numFmt w:val="bullet"/>
      <w:lvlText w:val=""/>
      <w:lvlJc w:val="left"/>
      <w:pPr>
        <w:ind w:left="1800" w:hanging="360"/>
      </w:pPr>
      <w:rPr>
        <w:rFonts w:ascii="Wingdings" w:hAnsi="Wingdings" w:hint="default"/>
      </w:rPr>
    </w:lvl>
    <w:lvl w:ilvl="3" w:tplc="9042B1BA" w:tentative="1">
      <w:start w:val="1"/>
      <w:numFmt w:val="bullet"/>
      <w:lvlText w:val=""/>
      <w:lvlJc w:val="left"/>
      <w:pPr>
        <w:ind w:left="2520" w:hanging="360"/>
      </w:pPr>
      <w:rPr>
        <w:rFonts w:ascii="Symbol" w:hAnsi="Symbol" w:hint="default"/>
      </w:rPr>
    </w:lvl>
    <w:lvl w:ilvl="4" w:tplc="CADCF30E" w:tentative="1">
      <w:start w:val="1"/>
      <w:numFmt w:val="bullet"/>
      <w:lvlText w:val="o"/>
      <w:lvlJc w:val="left"/>
      <w:pPr>
        <w:ind w:left="3240" w:hanging="360"/>
      </w:pPr>
      <w:rPr>
        <w:rFonts w:ascii="Courier New" w:hAnsi="Courier New" w:cs="Courier New" w:hint="default"/>
      </w:rPr>
    </w:lvl>
    <w:lvl w:ilvl="5" w:tplc="1D5240FE" w:tentative="1">
      <w:start w:val="1"/>
      <w:numFmt w:val="bullet"/>
      <w:lvlText w:val=""/>
      <w:lvlJc w:val="left"/>
      <w:pPr>
        <w:ind w:left="3960" w:hanging="360"/>
      </w:pPr>
      <w:rPr>
        <w:rFonts w:ascii="Wingdings" w:hAnsi="Wingdings" w:hint="default"/>
      </w:rPr>
    </w:lvl>
    <w:lvl w:ilvl="6" w:tplc="C484990C" w:tentative="1">
      <w:start w:val="1"/>
      <w:numFmt w:val="bullet"/>
      <w:lvlText w:val=""/>
      <w:lvlJc w:val="left"/>
      <w:pPr>
        <w:ind w:left="4680" w:hanging="360"/>
      </w:pPr>
      <w:rPr>
        <w:rFonts w:ascii="Symbol" w:hAnsi="Symbol" w:hint="default"/>
      </w:rPr>
    </w:lvl>
    <w:lvl w:ilvl="7" w:tplc="D8FCEBD0" w:tentative="1">
      <w:start w:val="1"/>
      <w:numFmt w:val="bullet"/>
      <w:lvlText w:val="o"/>
      <w:lvlJc w:val="left"/>
      <w:pPr>
        <w:ind w:left="5400" w:hanging="360"/>
      </w:pPr>
      <w:rPr>
        <w:rFonts w:ascii="Courier New" w:hAnsi="Courier New" w:cs="Courier New" w:hint="default"/>
      </w:rPr>
    </w:lvl>
    <w:lvl w:ilvl="8" w:tplc="4C0CF1FC" w:tentative="1">
      <w:start w:val="1"/>
      <w:numFmt w:val="bullet"/>
      <w:lvlText w:val=""/>
      <w:lvlJc w:val="left"/>
      <w:pPr>
        <w:ind w:left="6120" w:hanging="360"/>
      </w:pPr>
      <w:rPr>
        <w:rFonts w:ascii="Wingdings" w:hAnsi="Wingdings" w:hint="default"/>
      </w:rPr>
    </w:lvl>
  </w:abstractNum>
  <w:abstractNum w:abstractNumId="7">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7">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2630E7"/>
    <w:multiLevelType w:val="hybridMultilevel"/>
    <w:tmpl w:val="A46E7FCE"/>
    <w:lvl w:ilvl="0" w:tplc="8762276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8">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23"/>
  </w:num>
  <w:num w:numId="2">
    <w:abstractNumId w:val="12"/>
  </w:num>
  <w:num w:numId="3">
    <w:abstractNumId w:val="22"/>
  </w:num>
  <w:num w:numId="4">
    <w:abstractNumId w:val="11"/>
  </w:num>
  <w:num w:numId="5">
    <w:abstractNumId w:val="4"/>
  </w:num>
  <w:num w:numId="6">
    <w:abstractNumId w:val="9"/>
  </w:num>
  <w:num w:numId="7">
    <w:abstractNumId w:val="10"/>
  </w:num>
  <w:num w:numId="8">
    <w:abstractNumId w:val="13"/>
  </w:num>
  <w:num w:numId="9">
    <w:abstractNumId w:val="7"/>
  </w:num>
  <w:num w:numId="10">
    <w:abstractNumId w:val="19"/>
  </w:num>
  <w:num w:numId="11">
    <w:abstractNumId w:val="21"/>
  </w:num>
  <w:num w:numId="12">
    <w:abstractNumId w:val="0"/>
  </w:num>
  <w:num w:numId="13">
    <w:abstractNumId w:val="15"/>
  </w:num>
  <w:num w:numId="14">
    <w:abstractNumId w:val="5"/>
  </w:num>
  <w:num w:numId="15">
    <w:abstractNumId w:val="1"/>
  </w:num>
  <w:num w:numId="16">
    <w:abstractNumId w:val="14"/>
  </w:num>
  <w:num w:numId="17">
    <w:abstractNumId w:val="17"/>
  </w:num>
  <w:num w:numId="18">
    <w:abstractNumId w:val="25"/>
  </w:num>
  <w:num w:numId="19">
    <w:abstractNumId w:val="18"/>
  </w:num>
  <w:num w:numId="20">
    <w:abstractNumId w:val="16"/>
  </w:num>
  <w:num w:numId="21">
    <w:abstractNumId w:val="27"/>
  </w:num>
  <w:num w:numId="22">
    <w:abstractNumId w:val="24"/>
  </w:num>
  <w:num w:numId="23">
    <w:abstractNumId w:val="3"/>
  </w:num>
  <w:num w:numId="24">
    <w:abstractNumId w:val="2"/>
  </w:num>
  <w:num w:numId="25">
    <w:abstractNumId w:val="8"/>
  </w:num>
  <w:num w:numId="26">
    <w:abstractNumId w:val="2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2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33AD"/>
    <w:rsid w:val="00063E34"/>
    <w:rsid w:val="000656E0"/>
    <w:rsid w:val="00065CF2"/>
    <w:rsid w:val="00066CB2"/>
    <w:rsid w:val="00070359"/>
    <w:rsid w:val="00071527"/>
    <w:rsid w:val="000719D4"/>
    <w:rsid w:val="00071FD1"/>
    <w:rsid w:val="00072722"/>
    <w:rsid w:val="00072ECA"/>
    <w:rsid w:val="00073C1B"/>
    <w:rsid w:val="000740FA"/>
    <w:rsid w:val="00074FC7"/>
    <w:rsid w:val="00075340"/>
    <w:rsid w:val="000753A3"/>
    <w:rsid w:val="0007649C"/>
    <w:rsid w:val="00077654"/>
    <w:rsid w:val="00077B19"/>
    <w:rsid w:val="000800CA"/>
    <w:rsid w:val="00080BFE"/>
    <w:rsid w:val="000814FA"/>
    <w:rsid w:val="000816C9"/>
    <w:rsid w:val="00081F22"/>
    <w:rsid w:val="0008277A"/>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5F43"/>
    <w:rsid w:val="00096366"/>
    <w:rsid w:val="000967B2"/>
    <w:rsid w:val="000969F3"/>
    <w:rsid w:val="00096DED"/>
    <w:rsid w:val="000A1ADF"/>
    <w:rsid w:val="000A208B"/>
    <w:rsid w:val="000A276F"/>
    <w:rsid w:val="000A2A63"/>
    <w:rsid w:val="000A379D"/>
    <w:rsid w:val="000A3C1A"/>
    <w:rsid w:val="000A3D9D"/>
    <w:rsid w:val="000A4852"/>
    <w:rsid w:val="000A532C"/>
    <w:rsid w:val="000A5954"/>
    <w:rsid w:val="000A5FC4"/>
    <w:rsid w:val="000B0E81"/>
    <w:rsid w:val="000B12FE"/>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615C"/>
    <w:rsid w:val="000C71E2"/>
    <w:rsid w:val="000C7560"/>
    <w:rsid w:val="000D006B"/>
    <w:rsid w:val="000D02BB"/>
    <w:rsid w:val="000D0763"/>
    <w:rsid w:val="000D0E24"/>
    <w:rsid w:val="000D181F"/>
    <w:rsid w:val="000D3037"/>
    <w:rsid w:val="000D3226"/>
    <w:rsid w:val="000D3D34"/>
    <w:rsid w:val="000D3D60"/>
    <w:rsid w:val="000D4330"/>
    <w:rsid w:val="000D5300"/>
    <w:rsid w:val="000D59A8"/>
    <w:rsid w:val="000D7A14"/>
    <w:rsid w:val="000E1ABF"/>
    <w:rsid w:val="000E1B8E"/>
    <w:rsid w:val="000E2FA1"/>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177C7"/>
    <w:rsid w:val="001206FF"/>
    <w:rsid w:val="00120B57"/>
    <w:rsid w:val="001217BF"/>
    <w:rsid w:val="00121B12"/>
    <w:rsid w:val="00121B24"/>
    <w:rsid w:val="00122E1D"/>
    <w:rsid w:val="0012309F"/>
    <w:rsid w:val="001232E2"/>
    <w:rsid w:val="00125514"/>
    <w:rsid w:val="00126EF5"/>
    <w:rsid w:val="001271A2"/>
    <w:rsid w:val="0013069C"/>
    <w:rsid w:val="00130D8B"/>
    <w:rsid w:val="00130E4A"/>
    <w:rsid w:val="00131046"/>
    <w:rsid w:val="00131AF4"/>
    <w:rsid w:val="00132445"/>
    <w:rsid w:val="00132BDB"/>
    <w:rsid w:val="00132EF9"/>
    <w:rsid w:val="00133A25"/>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CA0"/>
    <w:rsid w:val="00187D81"/>
    <w:rsid w:val="00191212"/>
    <w:rsid w:val="00191A18"/>
    <w:rsid w:val="001934FD"/>
    <w:rsid w:val="00193715"/>
    <w:rsid w:val="00193938"/>
    <w:rsid w:val="0019402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5A2F"/>
    <w:rsid w:val="001B6229"/>
    <w:rsid w:val="001B68AF"/>
    <w:rsid w:val="001B7230"/>
    <w:rsid w:val="001C05F0"/>
    <w:rsid w:val="001C0AB6"/>
    <w:rsid w:val="001C2A26"/>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2A4B"/>
    <w:rsid w:val="001D3127"/>
    <w:rsid w:val="001D353A"/>
    <w:rsid w:val="001D4822"/>
    <w:rsid w:val="001D4A0B"/>
    <w:rsid w:val="001D56F1"/>
    <w:rsid w:val="001D5AB4"/>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0F31"/>
    <w:rsid w:val="0022263C"/>
    <w:rsid w:val="00223DE7"/>
    <w:rsid w:val="0022503C"/>
    <w:rsid w:val="00227ABE"/>
    <w:rsid w:val="00230BA6"/>
    <w:rsid w:val="002312F0"/>
    <w:rsid w:val="002326C7"/>
    <w:rsid w:val="002330E7"/>
    <w:rsid w:val="00233999"/>
    <w:rsid w:val="00234805"/>
    <w:rsid w:val="00235D4C"/>
    <w:rsid w:val="002368D0"/>
    <w:rsid w:val="0023721B"/>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700"/>
    <w:rsid w:val="00282CFE"/>
    <w:rsid w:val="00282D17"/>
    <w:rsid w:val="00282E60"/>
    <w:rsid w:val="00283E52"/>
    <w:rsid w:val="00284C80"/>
    <w:rsid w:val="00285FE5"/>
    <w:rsid w:val="0028657C"/>
    <w:rsid w:val="0028668A"/>
    <w:rsid w:val="002871F0"/>
    <w:rsid w:val="002874C3"/>
    <w:rsid w:val="00290C04"/>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FF2"/>
    <w:rsid w:val="002B041B"/>
    <w:rsid w:val="002B04D3"/>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B74"/>
    <w:rsid w:val="002E2F73"/>
    <w:rsid w:val="002E3060"/>
    <w:rsid w:val="002E3B89"/>
    <w:rsid w:val="002E46B3"/>
    <w:rsid w:val="002E4FB1"/>
    <w:rsid w:val="002E5687"/>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6A29"/>
    <w:rsid w:val="00336A9E"/>
    <w:rsid w:val="00336CE3"/>
    <w:rsid w:val="003373AC"/>
    <w:rsid w:val="00337B34"/>
    <w:rsid w:val="0034175A"/>
    <w:rsid w:val="00342081"/>
    <w:rsid w:val="0034245A"/>
    <w:rsid w:val="003425B2"/>
    <w:rsid w:val="00342831"/>
    <w:rsid w:val="003433D5"/>
    <w:rsid w:val="003448F6"/>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76F5"/>
    <w:rsid w:val="00380390"/>
    <w:rsid w:val="00380BC5"/>
    <w:rsid w:val="00381574"/>
    <w:rsid w:val="00382212"/>
    <w:rsid w:val="0038244E"/>
    <w:rsid w:val="00382F61"/>
    <w:rsid w:val="00383FA6"/>
    <w:rsid w:val="00385A69"/>
    <w:rsid w:val="00387384"/>
    <w:rsid w:val="003878CE"/>
    <w:rsid w:val="00387C7D"/>
    <w:rsid w:val="00387D0B"/>
    <w:rsid w:val="00387D3A"/>
    <w:rsid w:val="0039052D"/>
    <w:rsid w:val="00390C60"/>
    <w:rsid w:val="00391223"/>
    <w:rsid w:val="00391CEE"/>
    <w:rsid w:val="003929D2"/>
    <w:rsid w:val="00394871"/>
    <w:rsid w:val="00395152"/>
    <w:rsid w:val="0039591C"/>
    <w:rsid w:val="00397746"/>
    <w:rsid w:val="00397875"/>
    <w:rsid w:val="00397F9E"/>
    <w:rsid w:val="003A0385"/>
    <w:rsid w:val="003A2340"/>
    <w:rsid w:val="003A3280"/>
    <w:rsid w:val="003A476C"/>
    <w:rsid w:val="003A48F7"/>
    <w:rsid w:val="003A4EFC"/>
    <w:rsid w:val="003A50EC"/>
    <w:rsid w:val="003A6C34"/>
    <w:rsid w:val="003A7365"/>
    <w:rsid w:val="003A7A02"/>
    <w:rsid w:val="003A7C8A"/>
    <w:rsid w:val="003A7F71"/>
    <w:rsid w:val="003B0921"/>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5CD3"/>
    <w:rsid w:val="003C7517"/>
    <w:rsid w:val="003C76AF"/>
    <w:rsid w:val="003C76E2"/>
    <w:rsid w:val="003D0B5D"/>
    <w:rsid w:val="003D25EC"/>
    <w:rsid w:val="003D2802"/>
    <w:rsid w:val="003D552D"/>
    <w:rsid w:val="003D6965"/>
    <w:rsid w:val="003D6A6D"/>
    <w:rsid w:val="003D6B01"/>
    <w:rsid w:val="003D6B82"/>
    <w:rsid w:val="003D73A6"/>
    <w:rsid w:val="003D7605"/>
    <w:rsid w:val="003E06AD"/>
    <w:rsid w:val="003E07F8"/>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5C22"/>
    <w:rsid w:val="003F623C"/>
    <w:rsid w:val="003F6E3B"/>
    <w:rsid w:val="003F7D38"/>
    <w:rsid w:val="003F7DE3"/>
    <w:rsid w:val="004005BB"/>
    <w:rsid w:val="004007D0"/>
    <w:rsid w:val="00400A4E"/>
    <w:rsid w:val="00401000"/>
    <w:rsid w:val="0040210E"/>
    <w:rsid w:val="00403DA4"/>
    <w:rsid w:val="00404DE3"/>
    <w:rsid w:val="00406EAC"/>
    <w:rsid w:val="004072DC"/>
    <w:rsid w:val="0040745A"/>
    <w:rsid w:val="00410733"/>
    <w:rsid w:val="00411493"/>
    <w:rsid w:val="004116D2"/>
    <w:rsid w:val="00411F30"/>
    <w:rsid w:val="00412187"/>
    <w:rsid w:val="0041271A"/>
    <w:rsid w:val="00412EE5"/>
    <w:rsid w:val="00414FDE"/>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3706C"/>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513"/>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B52"/>
    <w:rsid w:val="00466D20"/>
    <w:rsid w:val="00466D2D"/>
    <w:rsid w:val="00467403"/>
    <w:rsid w:val="004702EE"/>
    <w:rsid w:val="00471C8A"/>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596"/>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498A"/>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DC0"/>
    <w:rsid w:val="00527F4C"/>
    <w:rsid w:val="00530663"/>
    <w:rsid w:val="00530795"/>
    <w:rsid w:val="00532A19"/>
    <w:rsid w:val="00532D4F"/>
    <w:rsid w:val="00533551"/>
    <w:rsid w:val="005350EA"/>
    <w:rsid w:val="00535465"/>
    <w:rsid w:val="00535A48"/>
    <w:rsid w:val="0053608E"/>
    <w:rsid w:val="0054131A"/>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634"/>
    <w:rsid w:val="00581974"/>
    <w:rsid w:val="005820BB"/>
    <w:rsid w:val="00582C44"/>
    <w:rsid w:val="00583507"/>
    <w:rsid w:val="005840CD"/>
    <w:rsid w:val="00584823"/>
    <w:rsid w:val="005858CC"/>
    <w:rsid w:val="00586648"/>
    <w:rsid w:val="005866DD"/>
    <w:rsid w:val="00586A65"/>
    <w:rsid w:val="005903BE"/>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B82"/>
    <w:rsid w:val="005D7C3D"/>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C6E"/>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465A"/>
    <w:rsid w:val="0060625D"/>
    <w:rsid w:val="0060657B"/>
    <w:rsid w:val="006076F2"/>
    <w:rsid w:val="00607CB7"/>
    <w:rsid w:val="00607E50"/>
    <w:rsid w:val="00610205"/>
    <w:rsid w:val="006102D1"/>
    <w:rsid w:val="00610D86"/>
    <w:rsid w:val="00612B48"/>
    <w:rsid w:val="00613A7C"/>
    <w:rsid w:val="00613FCD"/>
    <w:rsid w:val="0061420C"/>
    <w:rsid w:val="006146D0"/>
    <w:rsid w:val="00614A6A"/>
    <w:rsid w:val="00614EAB"/>
    <w:rsid w:val="00614F9D"/>
    <w:rsid w:val="006161FF"/>
    <w:rsid w:val="006173BF"/>
    <w:rsid w:val="00620883"/>
    <w:rsid w:val="00620DF0"/>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3D65"/>
    <w:rsid w:val="00655BC9"/>
    <w:rsid w:val="00655C50"/>
    <w:rsid w:val="00657CF4"/>
    <w:rsid w:val="00660C6F"/>
    <w:rsid w:val="00660D60"/>
    <w:rsid w:val="00660DCA"/>
    <w:rsid w:val="00661474"/>
    <w:rsid w:val="00663047"/>
    <w:rsid w:val="00663234"/>
    <w:rsid w:val="006633E3"/>
    <w:rsid w:val="0066369C"/>
    <w:rsid w:val="00665645"/>
    <w:rsid w:val="00667BF4"/>
    <w:rsid w:val="00670A72"/>
    <w:rsid w:val="00670FAD"/>
    <w:rsid w:val="0067592D"/>
    <w:rsid w:val="00676A92"/>
    <w:rsid w:val="00677C27"/>
    <w:rsid w:val="006802A2"/>
    <w:rsid w:val="00681567"/>
    <w:rsid w:val="0068164A"/>
    <w:rsid w:val="006817AF"/>
    <w:rsid w:val="00681B10"/>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6EB"/>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4FE5"/>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E4292"/>
    <w:rsid w:val="006F02F3"/>
    <w:rsid w:val="006F0A77"/>
    <w:rsid w:val="006F0DB8"/>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6A3"/>
    <w:rsid w:val="0070355A"/>
    <w:rsid w:val="007036E9"/>
    <w:rsid w:val="007047CF"/>
    <w:rsid w:val="007048E5"/>
    <w:rsid w:val="00704B7C"/>
    <w:rsid w:val="00704BBC"/>
    <w:rsid w:val="00706643"/>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5C7"/>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5D17"/>
    <w:rsid w:val="00736BF1"/>
    <w:rsid w:val="00736C8F"/>
    <w:rsid w:val="0073791D"/>
    <w:rsid w:val="00737DE8"/>
    <w:rsid w:val="00740516"/>
    <w:rsid w:val="00741BA7"/>
    <w:rsid w:val="00742208"/>
    <w:rsid w:val="00742CEC"/>
    <w:rsid w:val="007433DD"/>
    <w:rsid w:val="0074377A"/>
    <w:rsid w:val="00743D66"/>
    <w:rsid w:val="0074511F"/>
    <w:rsid w:val="00746115"/>
    <w:rsid w:val="007478AE"/>
    <w:rsid w:val="00747981"/>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158"/>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547"/>
    <w:rsid w:val="007B3664"/>
    <w:rsid w:val="007B4A03"/>
    <w:rsid w:val="007B5764"/>
    <w:rsid w:val="007B5F96"/>
    <w:rsid w:val="007B6389"/>
    <w:rsid w:val="007B6854"/>
    <w:rsid w:val="007B7726"/>
    <w:rsid w:val="007B7F14"/>
    <w:rsid w:val="007C07F3"/>
    <w:rsid w:val="007C0913"/>
    <w:rsid w:val="007C0D82"/>
    <w:rsid w:val="007C16C1"/>
    <w:rsid w:val="007C2093"/>
    <w:rsid w:val="007C221B"/>
    <w:rsid w:val="007C31DC"/>
    <w:rsid w:val="007C39E6"/>
    <w:rsid w:val="007C5632"/>
    <w:rsid w:val="007C5B70"/>
    <w:rsid w:val="007C633B"/>
    <w:rsid w:val="007C651E"/>
    <w:rsid w:val="007C7548"/>
    <w:rsid w:val="007C7AB4"/>
    <w:rsid w:val="007D0D9F"/>
    <w:rsid w:val="007D1F19"/>
    <w:rsid w:val="007D1FC2"/>
    <w:rsid w:val="007D2B07"/>
    <w:rsid w:val="007D398D"/>
    <w:rsid w:val="007D454D"/>
    <w:rsid w:val="007D5639"/>
    <w:rsid w:val="007D57B8"/>
    <w:rsid w:val="007D59C4"/>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5E1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750"/>
    <w:rsid w:val="008537DF"/>
    <w:rsid w:val="00853DEA"/>
    <w:rsid w:val="00854455"/>
    <w:rsid w:val="0085445C"/>
    <w:rsid w:val="008548B6"/>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A9"/>
    <w:rsid w:val="008910A5"/>
    <w:rsid w:val="00891D20"/>
    <w:rsid w:val="00892910"/>
    <w:rsid w:val="0089371B"/>
    <w:rsid w:val="0089378B"/>
    <w:rsid w:val="0089407F"/>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786"/>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3F75"/>
    <w:rsid w:val="008D562F"/>
    <w:rsid w:val="008D5BA8"/>
    <w:rsid w:val="008D5C91"/>
    <w:rsid w:val="008D71BB"/>
    <w:rsid w:val="008E02A4"/>
    <w:rsid w:val="008E02FD"/>
    <w:rsid w:val="008E05EA"/>
    <w:rsid w:val="008E1E65"/>
    <w:rsid w:val="008E2310"/>
    <w:rsid w:val="008E3498"/>
    <w:rsid w:val="008E356B"/>
    <w:rsid w:val="008E457B"/>
    <w:rsid w:val="008E4B28"/>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3286"/>
    <w:rsid w:val="00914B21"/>
    <w:rsid w:val="00915577"/>
    <w:rsid w:val="00916058"/>
    <w:rsid w:val="0091622C"/>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51"/>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5DD6"/>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97E3D"/>
    <w:rsid w:val="009A06A2"/>
    <w:rsid w:val="009A076E"/>
    <w:rsid w:val="009A1F29"/>
    <w:rsid w:val="009A2587"/>
    <w:rsid w:val="009A38BA"/>
    <w:rsid w:val="009A41D9"/>
    <w:rsid w:val="009A48A6"/>
    <w:rsid w:val="009A5B4F"/>
    <w:rsid w:val="009A5F23"/>
    <w:rsid w:val="009A707A"/>
    <w:rsid w:val="009A7A6E"/>
    <w:rsid w:val="009B0040"/>
    <w:rsid w:val="009B01E5"/>
    <w:rsid w:val="009B07FF"/>
    <w:rsid w:val="009B1404"/>
    <w:rsid w:val="009B21B5"/>
    <w:rsid w:val="009B251E"/>
    <w:rsid w:val="009B35C5"/>
    <w:rsid w:val="009B35D5"/>
    <w:rsid w:val="009B35D9"/>
    <w:rsid w:val="009B4619"/>
    <w:rsid w:val="009B4B90"/>
    <w:rsid w:val="009B51A6"/>
    <w:rsid w:val="009B525D"/>
    <w:rsid w:val="009B57E3"/>
    <w:rsid w:val="009B5FFF"/>
    <w:rsid w:val="009B628A"/>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2D32"/>
    <w:rsid w:val="009E4020"/>
    <w:rsid w:val="009E44DE"/>
    <w:rsid w:val="009E47D4"/>
    <w:rsid w:val="009E4BC8"/>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7DE"/>
    <w:rsid w:val="00A02B4D"/>
    <w:rsid w:val="00A02CD7"/>
    <w:rsid w:val="00A042A9"/>
    <w:rsid w:val="00A04D6C"/>
    <w:rsid w:val="00A06B99"/>
    <w:rsid w:val="00A06E91"/>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FEE"/>
    <w:rsid w:val="00A36072"/>
    <w:rsid w:val="00A36416"/>
    <w:rsid w:val="00A368AB"/>
    <w:rsid w:val="00A36A1A"/>
    <w:rsid w:val="00A36A51"/>
    <w:rsid w:val="00A36D07"/>
    <w:rsid w:val="00A37248"/>
    <w:rsid w:val="00A4062E"/>
    <w:rsid w:val="00A41E86"/>
    <w:rsid w:val="00A4339A"/>
    <w:rsid w:val="00A433B0"/>
    <w:rsid w:val="00A463AC"/>
    <w:rsid w:val="00A4676E"/>
    <w:rsid w:val="00A46A68"/>
    <w:rsid w:val="00A4796C"/>
    <w:rsid w:val="00A47ECA"/>
    <w:rsid w:val="00A47FB0"/>
    <w:rsid w:val="00A50663"/>
    <w:rsid w:val="00A51FA9"/>
    <w:rsid w:val="00A522D1"/>
    <w:rsid w:val="00A53C2E"/>
    <w:rsid w:val="00A542D6"/>
    <w:rsid w:val="00A5452C"/>
    <w:rsid w:val="00A547EC"/>
    <w:rsid w:val="00A54817"/>
    <w:rsid w:val="00A554D1"/>
    <w:rsid w:val="00A5564B"/>
    <w:rsid w:val="00A607F5"/>
    <w:rsid w:val="00A612B4"/>
    <w:rsid w:val="00A632F4"/>
    <w:rsid w:val="00A64127"/>
    <w:rsid w:val="00A64AF7"/>
    <w:rsid w:val="00A67A57"/>
    <w:rsid w:val="00A7041C"/>
    <w:rsid w:val="00A70A2F"/>
    <w:rsid w:val="00A70BC0"/>
    <w:rsid w:val="00A71039"/>
    <w:rsid w:val="00A710D8"/>
    <w:rsid w:val="00A729CD"/>
    <w:rsid w:val="00A7318D"/>
    <w:rsid w:val="00A742A4"/>
    <w:rsid w:val="00A742BF"/>
    <w:rsid w:val="00A74347"/>
    <w:rsid w:val="00A750A1"/>
    <w:rsid w:val="00A75C99"/>
    <w:rsid w:val="00A76A92"/>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0978"/>
    <w:rsid w:val="00AD16C2"/>
    <w:rsid w:val="00AD23CC"/>
    <w:rsid w:val="00AD28E7"/>
    <w:rsid w:val="00AD2C0E"/>
    <w:rsid w:val="00AD3782"/>
    <w:rsid w:val="00AD3885"/>
    <w:rsid w:val="00AD3C64"/>
    <w:rsid w:val="00AD550C"/>
    <w:rsid w:val="00AD5FFF"/>
    <w:rsid w:val="00AD6D7B"/>
    <w:rsid w:val="00AD7A38"/>
    <w:rsid w:val="00AD7E52"/>
    <w:rsid w:val="00AE2523"/>
    <w:rsid w:val="00AE3F1F"/>
    <w:rsid w:val="00AE403F"/>
    <w:rsid w:val="00AE4C2F"/>
    <w:rsid w:val="00AE64DC"/>
    <w:rsid w:val="00AE7445"/>
    <w:rsid w:val="00AE7D38"/>
    <w:rsid w:val="00AF0ABD"/>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3DE"/>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AF6"/>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381"/>
    <w:rsid w:val="00BE36F4"/>
    <w:rsid w:val="00BE3F93"/>
    <w:rsid w:val="00BE7086"/>
    <w:rsid w:val="00BF0532"/>
    <w:rsid w:val="00BF0B1B"/>
    <w:rsid w:val="00BF0B5C"/>
    <w:rsid w:val="00BF0BDC"/>
    <w:rsid w:val="00BF1E6F"/>
    <w:rsid w:val="00BF2B1F"/>
    <w:rsid w:val="00BF3F53"/>
    <w:rsid w:val="00BF447D"/>
    <w:rsid w:val="00BF4F82"/>
    <w:rsid w:val="00BF5D85"/>
    <w:rsid w:val="00BF5FC8"/>
    <w:rsid w:val="00BF6825"/>
    <w:rsid w:val="00BF746D"/>
    <w:rsid w:val="00BF785F"/>
    <w:rsid w:val="00BF78B5"/>
    <w:rsid w:val="00C02458"/>
    <w:rsid w:val="00C02FE0"/>
    <w:rsid w:val="00C03D0B"/>
    <w:rsid w:val="00C03FDD"/>
    <w:rsid w:val="00C0461A"/>
    <w:rsid w:val="00C04A28"/>
    <w:rsid w:val="00C05142"/>
    <w:rsid w:val="00C05A09"/>
    <w:rsid w:val="00C06C73"/>
    <w:rsid w:val="00C07131"/>
    <w:rsid w:val="00C07340"/>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162"/>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FC5"/>
    <w:rsid w:val="00C76778"/>
    <w:rsid w:val="00C770AA"/>
    <w:rsid w:val="00C776D2"/>
    <w:rsid w:val="00C80271"/>
    <w:rsid w:val="00C804EC"/>
    <w:rsid w:val="00C80759"/>
    <w:rsid w:val="00C807D3"/>
    <w:rsid w:val="00C814B8"/>
    <w:rsid w:val="00C827AE"/>
    <w:rsid w:val="00C84A05"/>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2A36"/>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22992"/>
    <w:rsid w:val="00D23156"/>
    <w:rsid w:val="00D23EA3"/>
    <w:rsid w:val="00D242D7"/>
    <w:rsid w:val="00D24594"/>
    <w:rsid w:val="00D264D4"/>
    <w:rsid w:val="00D269BF"/>
    <w:rsid w:val="00D26B5B"/>
    <w:rsid w:val="00D27357"/>
    <w:rsid w:val="00D274AD"/>
    <w:rsid w:val="00D301DA"/>
    <w:rsid w:val="00D31402"/>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A9D"/>
    <w:rsid w:val="00D54CD6"/>
    <w:rsid w:val="00D558DE"/>
    <w:rsid w:val="00D55CDE"/>
    <w:rsid w:val="00D56530"/>
    <w:rsid w:val="00D56E8B"/>
    <w:rsid w:val="00D609CC"/>
    <w:rsid w:val="00D60D07"/>
    <w:rsid w:val="00D61A1A"/>
    <w:rsid w:val="00D63729"/>
    <w:rsid w:val="00D638F4"/>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906"/>
    <w:rsid w:val="00DB0FA4"/>
    <w:rsid w:val="00DB235B"/>
    <w:rsid w:val="00DB3AF6"/>
    <w:rsid w:val="00DB42F1"/>
    <w:rsid w:val="00DB47DE"/>
    <w:rsid w:val="00DB4E2F"/>
    <w:rsid w:val="00DB52AC"/>
    <w:rsid w:val="00DB5AAA"/>
    <w:rsid w:val="00DB6044"/>
    <w:rsid w:val="00DC17AE"/>
    <w:rsid w:val="00DC1991"/>
    <w:rsid w:val="00DC1E60"/>
    <w:rsid w:val="00DC2928"/>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3206"/>
    <w:rsid w:val="00DD4A55"/>
    <w:rsid w:val="00DD4CD6"/>
    <w:rsid w:val="00DD5525"/>
    <w:rsid w:val="00DD5EFE"/>
    <w:rsid w:val="00DD70D7"/>
    <w:rsid w:val="00DD73F8"/>
    <w:rsid w:val="00DD7B87"/>
    <w:rsid w:val="00DD7C15"/>
    <w:rsid w:val="00DE0BE7"/>
    <w:rsid w:val="00DE1EDB"/>
    <w:rsid w:val="00DE2D10"/>
    <w:rsid w:val="00DE4CE6"/>
    <w:rsid w:val="00DE5584"/>
    <w:rsid w:val="00DE55FA"/>
    <w:rsid w:val="00DE5D0D"/>
    <w:rsid w:val="00DE62AD"/>
    <w:rsid w:val="00DE6CC1"/>
    <w:rsid w:val="00DF04D6"/>
    <w:rsid w:val="00DF0818"/>
    <w:rsid w:val="00DF14F2"/>
    <w:rsid w:val="00DF1FE2"/>
    <w:rsid w:val="00DF386C"/>
    <w:rsid w:val="00DF3FA5"/>
    <w:rsid w:val="00DF4E81"/>
    <w:rsid w:val="00DF698B"/>
    <w:rsid w:val="00DF7271"/>
    <w:rsid w:val="00E00B47"/>
    <w:rsid w:val="00E00CAF"/>
    <w:rsid w:val="00E02EEA"/>
    <w:rsid w:val="00E033D4"/>
    <w:rsid w:val="00E03BDC"/>
    <w:rsid w:val="00E045F3"/>
    <w:rsid w:val="00E048EA"/>
    <w:rsid w:val="00E04D2C"/>
    <w:rsid w:val="00E051C6"/>
    <w:rsid w:val="00E06AE5"/>
    <w:rsid w:val="00E06B39"/>
    <w:rsid w:val="00E07844"/>
    <w:rsid w:val="00E07CD8"/>
    <w:rsid w:val="00E1026C"/>
    <w:rsid w:val="00E11032"/>
    <w:rsid w:val="00E11C92"/>
    <w:rsid w:val="00E12E67"/>
    <w:rsid w:val="00E14B48"/>
    <w:rsid w:val="00E159A4"/>
    <w:rsid w:val="00E16259"/>
    <w:rsid w:val="00E1652A"/>
    <w:rsid w:val="00E1794E"/>
    <w:rsid w:val="00E20715"/>
    <w:rsid w:val="00E20F69"/>
    <w:rsid w:val="00E21A5A"/>
    <w:rsid w:val="00E21FD0"/>
    <w:rsid w:val="00E2252E"/>
    <w:rsid w:val="00E23021"/>
    <w:rsid w:val="00E23C11"/>
    <w:rsid w:val="00E23F5E"/>
    <w:rsid w:val="00E23FDF"/>
    <w:rsid w:val="00E2467E"/>
    <w:rsid w:val="00E2647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1177"/>
    <w:rsid w:val="00E715E7"/>
    <w:rsid w:val="00E72FDF"/>
    <w:rsid w:val="00E73770"/>
    <w:rsid w:val="00E741BA"/>
    <w:rsid w:val="00E74C94"/>
    <w:rsid w:val="00E74EFE"/>
    <w:rsid w:val="00E75450"/>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97A"/>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C2"/>
    <w:rsid w:val="00EA34F5"/>
    <w:rsid w:val="00EA3B98"/>
    <w:rsid w:val="00EA5F48"/>
    <w:rsid w:val="00EA64D3"/>
    <w:rsid w:val="00EA6AFF"/>
    <w:rsid w:val="00EA72AE"/>
    <w:rsid w:val="00EA7AC5"/>
    <w:rsid w:val="00EB0C10"/>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15A"/>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41E"/>
    <w:rsid w:val="00F45B0D"/>
    <w:rsid w:val="00F479F0"/>
    <w:rsid w:val="00F47FB5"/>
    <w:rsid w:val="00F51296"/>
    <w:rsid w:val="00F52B06"/>
    <w:rsid w:val="00F53805"/>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3CE3"/>
    <w:rsid w:val="00F841E8"/>
    <w:rsid w:val="00F85220"/>
    <w:rsid w:val="00F8590F"/>
    <w:rsid w:val="00F85AC2"/>
    <w:rsid w:val="00F85CEB"/>
    <w:rsid w:val="00F8720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C7FCF"/>
    <w:rsid w:val="00FD0C3D"/>
    <w:rsid w:val="00FD0CE6"/>
    <w:rsid w:val="00FD0D32"/>
    <w:rsid w:val="00FD190D"/>
    <w:rsid w:val="00FD1A90"/>
    <w:rsid w:val="00FD33B1"/>
    <w:rsid w:val="00FD34B3"/>
    <w:rsid w:val="00FD4D44"/>
    <w:rsid w:val="00FD4FB3"/>
    <w:rsid w:val="00FD6C18"/>
    <w:rsid w:val="00FD797C"/>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2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F121-1CA1-45BC-8F95-45BEC2BD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16</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Northern Territory Government 2016 G51</vt:lpstr>
    </vt:vector>
  </TitlesOfParts>
  <Company>NTG</Company>
  <LinksUpToDate>false</LinksUpToDate>
  <CharactersWithSpaces>23523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G51</dc:title>
  <dc:creator>Northern Territory Government</dc:creator>
  <cp:lastModifiedBy>Melanie Macauley</cp:lastModifiedBy>
  <cp:revision>30</cp:revision>
  <cp:lastPrinted>2016-12-19T02:39:00Z</cp:lastPrinted>
  <dcterms:created xsi:type="dcterms:W3CDTF">2016-12-13T04:32:00Z</dcterms:created>
  <dcterms:modified xsi:type="dcterms:W3CDTF">2016-12-20T07:27:00Z</dcterms:modified>
</cp:coreProperties>
</file>