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094" w:rsidRDefault="00627FC3" w:rsidP="007033B2">
      <w:pPr>
        <w:spacing w:before="100" w:beforeAutospacing="1" w:after="100" w:afterAutospacing="1"/>
        <w:ind w:right="142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/>
      </w:r>
      <w:r w:rsidR="00892094" w:rsidRPr="00766F2D">
        <w:rPr>
          <w:sz w:val="22"/>
          <w:szCs w:val="22"/>
        </w:rPr>
        <w:t xml:space="preserve">This </w:t>
      </w:r>
      <w:r w:rsidR="00892094">
        <w:rPr>
          <w:sz w:val="22"/>
          <w:szCs w:val="22"/>
        </w:rPr>
        <w:t>guideline</w:t>
      </w:r>
      <w:r w:rsidR="00892094" w:rsidRPr="00766F2D">
        <w:rPr>
          <w:sz w:val="22"/>
          <w:szCs w:val="22"/>
        </w:rPr>
        <w:t xml:space="preserve"> summarises the </w:t>
      </w:r>
      <w:r w:rsidR="00892094">
        <w:rPr>
          <w:sz w:val="22"/>
          <w:szCs w:val="22"/>
        </w:rPr>
        <w:t>assessment criteria that may be used by the department in determining whether a person making a mineral title application has met the necessary criteria under</w:t>
      </w:r>
      <w:r w:rsidR="00892094" w:rsidRPr="00766F2D">
        <w:rPr>
          <w:sz w:val="22"/>
          <w:szCs w:val="22"/>
        </w:rPr>
        <w:t xml:space="preserve"> the </w:t>
      </w:r>
      <w:r w:rsidR="00892094" w:rsidRPr="00766F2D">
        <w:rPr>
          <w:i/>
          <w:sz w:val="22"/>
          <w:szCs w:val="22"/>
        </w:rPr>
        <w:t>Mineral Titles Act</w:t>
      </w:r>
      <w:r w:rsidR="00892094">
        <w:rPr>
          <w:i/>
          <w:sz w:val="22"/>
          <w:szCs w:val="22"/>
        </w:rPr>
        <w:t xml:space="preserve"> 2010</w:t>
      </w:r>
      <w:r w:rsidR="00892094" w:rsidRPr="00766F2D">
        <w:rPr>
          <w:sz w:val="22"/>
          <w:szCs w:val="22"/>
        </w:rPr>
        <w:t xml:space="preserve"> (the Act) and </w:t>
      </w:r>
      <w:r w:rsidR="00892094" w:rsidRPr="00766F2D">
        <w:rPr>
          <w:i/>
          <w:sz w:val="22"/>
          <w:szCs w:val="22"/>
        </w:rPr>
        <w:t>Mineral Titles Regulations</w:t>
      </w:r>
      <w:r w:rsidR="00892094" w:rsidRPr="00766F2D">
        <w:rPr>
          <w:sz w:val="22"/>
          <w:szCs w:val="22"/>
        </w:rPr>
        <w:t xml:space="preserve"> </w:t>
      </w:r>
      <w:r w:rsidR="00892094" w:rsidRPr="00892094">
        <w:rPr>
          <w:i/>
          <w:sz w:val="22"/>
          <w:szCs w:val="22"/>
        </w:rPr>
        <w:t>2011</w:t>
      </w:r>
      <w:r w:rsidR="002466EA">
        <w:rPr>
          <w:i/>
          <w:sz w:val="22"/>
          <w:szCs w:val="22"/>
        </w:rPr>
        <w:t xml:space="preserve"> </w:t>
      </w:r>
      <w:r w:rsidR="00892094" w:rsidRPr="00766F2D">
        <w:rPr>
          <w:sz w:val="22"/>
          <w:szCs w:val="22"/>
        </w:rPr>
        <w:t>(the Regulations)</w:t>
      </w:r>
      <w:r w:rsidR="00892094">
        <w:rPr>
          <w:sz w:val="22"/>
          <w:szCs w:val="22"/>
        </w:rPr>
        <w:t>.</w:t>
      </w:r>
    </w:p>
    <w:p w:rsidR="00892094" w:rsidRPr="00B6753B" w:rsidRDefault="00892094" w:rsidP="007033B2">
      <w:pPr>
        <w:pStyle w:val="Heading1"/>
        <w:spacing w:before="100" w:beforeAutospacing="1" w:after="100" w:afterAutospacing="1"/>
        <w:rPr>
          <w:color w:val="1F1F5F" w:themeColor="text1"/>
          <w:sz w:val="30"/>
          <w:szCs w:val="30"/>
        </w:rPr>
      </w:pPr>
      <w:r w:rsidRPr="00B6753B">
        <w:rPr>
          <w:color w:val="1F1F5F" w:themeColor="text1"/>
          <w:sz w:val="30"/>
          <w:szCs w:val="30"/>
        </w:rPr>
        <w:t>Definition of a mineral title application</w:t>
      </w:r>
    </w:p>
    <w:p w:rsidR="00892094" w:rsidRDefault="00892094" w:rsidP="007033B2">
      <w:pPr>
        <w:spacing w:before="100" w:beforeAutospacing="1" w:after="100" w:afterAutospacing="1"/>
        <w:ind w:right="140"/>
        <w:rPr>
          <w:sz w:val="22"/>
          <w:szCs w:val="22"/>
        </w:rPr>
      </w:pPr>
      <w:r>
        <w:rPr>
          <w:sz w:val="22"/>
          <w:szCs w:val="22"/>
        </w:rPr>
        <w:t>A mineral title application means:</w:t>
      </w:r>
    </w:p>
    <w:p w:rsidR="00892094" w:rsidRPr="0009433B" w:rsidRDefault="00892094" w:rsidP="007033B2">
      <w:pPr>
        <w:pStyle w:val="ListParagraph"/>
        <w:numPr>
          <w:ilvl w:val="0"/>
          <w:numId w:val="11"/>
        </w:numPr>
        <w:spacing w:before="100" w:beforeAutospacing="1" w:after="100" w:afterAutospacing="1"/>
        <w:ind w:left="340" w:right="140" w:hanging="340"/>
        <w:rPr>
          <w:sz w:val="22"/>
          <w:szCs w:val="22"/>
        </w:rPr>
      </w:pPr>
      <w:r w:rsidRPr="0009433B">
        <w:rPr>
          <w:sz w:val="22"/>
          <w:szCs w:val="22"/>
        </w:rPr>
        <w:t>an application for the grant or renewal of a mineral title (Part 3 or 4 of the Act); or</w:t>
      </w:r>
    </w:p>
    <w:p w:rsidR="00892094" w:rsidRPr="0009433B" w:rsidRDefault="00892094" w:rsidP="007033B2">
      <w:pPr>
        <w:pStyle w:val="ListParagraph"/>
        <w:numPr>
          <w:ilvl w:val="0"/>
          <w:numId w:val="11"/>
        </w:numPr>
        <w:tabs>
          <w:tab w:val="num" w:pos="1134"/>
        </w:tabs>
        <w:spacing w:before="100" w:beforeAutospacing="1" w:after="100" w:afterAutospacing="1"/>
        <w:ind w:left="340" w:right="142" w:hanging="340"/>
        <w:rPr>
          <w:sz w:val="22"/>
          <w:szCs w:val="22"/>
        </w:rPr>
      </w:pPr>
      <w:r w:rsidRPr="0009433B">
        <w:rPr>
          <w:sz w:val="22"/>
          <w:szCs w:val="22"/>
        </w:rPr>
        <w:t>an application to vary, subdivide, amalgamate or surrender a mineral title (Part 5, Division 5 of the Act); or</w:t>
      </w:r>
    </w:p>
    <w:p w:rsidR="00892094" w:rsidRPr="0009433B" w:rsidRDefault="00892094" w:rsidP="007033B2">
      <w:pPr>
        <w:pStyle w:val="ListParagraph"/>
        <w:numPr>
          <w:ilvl w:val="0"/>
          <w:numId w:val="11"/>
        </w:numPr>
        <w:tabs>
          <w:tab w:val="num" w:pos="1134"/>
        </w:tabs>
        <w:spacing w:before="100" w:beforeAutospacing="1" w:after="100" w:afterAutospacing="1"/>
        <w:ind w:left="340" w:right="142" w:hanging="340"/>
        <w:rPr>
          <w:sz w:val="22"/>
          <w:szCs w:val="22"/>
        </w:rPr>
      </w:pPr>
      <w:r w:rsidRPr="0009433B">
        <w:rPr>
          <w:sz w:val="22"/>
          <w:szCs w:val="22"/>
        </w:rPr>
        <w:t>an application relating to a Mineral Authority (section 118 and 119 of the Act)</w:t>
      </w:r>
    </w:p>
    <w:p w:rsidR="00892094" w:rsidRPr="00B6753B" w:rsidRDefault="00892094" w:rsidP="007033B2">
      <w:pPr>
        <w:pStyle w:val="Heading2"/>
        <w:spacing w:before="100" w:beforeAutospacing="1" w:after="100" w:afterAutospacing="1"/>
        <w:rPr>
          <w:color w:val="1F1F5F" w:themeColor="text1"/>
          <w:sz w:val="30"/>
          <w:szCs w:val="30"/>
        </w:rPr>
      </w:pPr>
      <w:r w:rsidRPr="00B6753B">
        <w:rPr>
          <w:color w:val="1F1F5F" w:themeColor="text1"/>
          <w:sz w:val="30"/>
          <w:szCs w:val="30"/>
        </w:rPr>
        <w:t>Section 58 of the Act – Necessary criteria for mineral title application</w:t>
      </w:r>
    </w:p>
    <w:p w:rsidR="00892094" w:rsidRDefault="007033B2" w:rsidP="007033B2">
      <w:pPr>
        <w:spacing w:before="100" w:beforeAutospacing="1" w:after="100" w:afterAutospacing="1"/>
        <w:ind w:right="140"/>
        <w:rPr>
          <w:sz w:val="22"/>
          <w:szCs w:val="22"/>
        </w:rPr>
      </w:pPr>
      <w:r>
        <w:rPr>
          <w:sz w:val="22"/>
          <w:szCs w:val="22"/>
        </w:rPr>
        <w:t>T</w:t>
      </w:r>
      <w:r w:rsidR="00892094">
        <w:rPr>
          <w:sz w:val="22"/>
          <w:szCs w:val="22"/>
        </w:rPr>
        <w:t>o enable the Minister to make a proper decision, a person making a mineral title application, as defined above, must:</w:t>
      </w:r>
    </w:p>
    <w:p w:rsidR="00892094" w:rsidRPr="00E60702" w:rsidRDefault="00892094" w:rsidP="007033B2">
      <w:pPr>
        <w:numPr>
          <w:ilvl w:val="0"/>
          <w:numId w:val="9"/>
        </w:numPr>
        <w:tabs>
          <w:tab w:val="clear" w:pos="1543"/>
          <w:tab w:val="num" w:pos="1134"/>
        </w:tabs>
        <w:spacing w:before="100" w:beforeAutospacing="1" w:after="100" w:afterAutospacing="1"/>
        <w:ind w:left="425" w:right="142" w:hanging="425"/>
        <w:rPr>
          <w:sz w:val="22"/>
          <w:szCs w:val="22"/>
        </w:rPr>
      </w:pPr>
      <w:r>
        <w:rPr>
          <w:sz w:val="22"/>
          <w:szCs w:val="22"/>
        </w:rPr>
        <w:t xml:space="preserve">provide all relevant information, on the prescribed approved form, where required; </w:t>
      </w:r>
    </w:p>
    <w:p w:rsidR="00892094" w:rsidRPr="00E60702" w:rsidRDefault="00892094" w:rsidP="007033B2">
      <w:pPr>
        <w:numPr>
          <w:ilvl w:val="0"/>
          <w:numId w:val="9"/>
        </w:numPr>
        <w:tabs>
          <w:tab w:val="clear" w:pos="1543"/>
          <w:tab w:val="num" w:pos="1134"/>
        </w:tabs>
        <w:spacing w:before="100" w:beforeAutospacing="1" w:after="100" w:afterAutospacing="1"/>
        <w:ind w:left="425" w:right="142" w:hanging="425"/>
        <w:rPr>
          <w:sz w:val="22"/>
          <w:szCs w:val="22"/>
        </w:rPr>
      </w:pPr>
      <w:r>
        <w:rPr>
          <w:sz w:val="22"/>
          <w:szCs w:val="22"/>
        </w:rPr>
        <w:t>have complied with requirements under this Act in relation to the actual mineral title application, including payment of the prescribed application fee and lodging the application within the prescribed timeframe; and</w:t>
      </w:r>
    </w:p>
    <w:p w:rsidR="00892094" w:rsidRPr="0009433B" w:rsidRDefault="00892094" w:rsidP="007033B2">
      <w:pPr>
        <w:numPr>
          <w:ilvl w:val="0"/>
          <w:numId w:val="9"/>
        </w:numPr>
        <w:tabs>
          <w:tab w:val="clear" w:pos="1543"/>
          <w:tab w:val="num" w:pos="1134"/>
        </w:tabs>
        <w:spacing w:before="100" w:beforeAutospacing="1" w:after="100" w:afterAutospacing="1"/>
        <w:ind w:left="425" w:right="142" w:hanging="425"/>
        <w:rPr>
          <w:sz w:val="22"/>
          <w:szCs w:val="22"/>
        </w:rPr>
      </w:pPr>
      <w:proofErr w:type="gramStart"/>
      <w:r w:rsidRPr="0009433B">
        <w:rPr>
          <w:sz w:val="22"/>
          <w:szCs w:val="22"/>
        </w:rPr>
        <w:t>ha</w:t>
      </w:r>
      <w:r>
        <w:rPr>
          <w:sz w:val="22"/>
          <w:szCs w:val="22"/>
        </w:rPr>
        <w:t>ve</w:t>
      </w:r>
      <w:proofErr w:type="gramEnd"/>
      <w:r w:rsidRPr="0009433B">
        <w:rPr>
          <w:sz w:val="22"/>
          <w:szCs w:val="22"/>
        </w:rPr>
        <w:t xml:space="preserve"> complied substantially with the conditions of each mineral title currently held. </w:t>
      </w:r>
    </w:p>
    <w:p w:rsidR="00892094" w:rsidRDefault="00892094" w:rsidP="007033B2">
      <w:pPr>
        <w:spacing w:before="100" w:beforeAutospacing="1" w:after="100" w:afterAutospacing="1"/>
        <w:ind w:right="140"/>
        <w:rPr>
          <w:sz w:val="22"/>
          <w:szCs w:val="22"/>
        </w:rPr>
      </w:pPr>
      <w:r>
        <w:rPr>
          <w:sz w:val="22"/>
          <w:szCs w:val="22"/>
        </w:rPr>
        <w:t>In relation to (c) a</w:t>
      </w:r>
      <w:r w:rsidR="007033B2">
        <w:rPr>
          <w:sz w:val="22"/>
          <w:szCs w:val="22"/>
        </w:rPr>
        <w:t>b</w:t>
      </w:r>
      <w:r>
        <w:rPr>
          <w:sz w:val="22"/>
          <w:szCs w:val="22"/>
        </w:rPr>
        <w:t>ove, compliance includes:</w:t>
      </w:r>
    </w:p>
    <w:p w:rsidR="00892094" w:rsidRDefault="00892094" w:rsidP="007033B2">
      <w:pPr>
        <w:pStyle w:val="ListParagraph"/>
        <w:numPr>
          <w:ilvl w:val="0"/>
          <w:numId w:val="11"/>
        </w:numPr>
        <w:tabs>
          <w:tab w:val="num" w:pos="1134"/>
        </w:tabs>
        <w:spacing w:before="100" w:beforeAutospacing="1" w:after="100" w:afterAutospacing="1"/>
        <w:ind w:left="680" w:right="142" w:hanging="340"/>
        <w:rPr>
          <w:sz w:val="22"/>
          <w:szCs w:val="22"/>
        </w:rPr>
      </w:pPr>
      <w:r>
        <w:rPr>
          <w:sz w:val="22"/>
          <w:szCs w:val="22"/>
        </w:rPr>
        <w:t xml:space="preserve">all reports having been lodged and accepted within specified timeframes; </w:t>
      </w:r>
    </w:p>
    <w:p w:rsidR="00892094" w:rsidRDefault="00892094" w:rsidP="007033B2">
      <w:pPr>
        <w:pStyle w:val="ListParagraph"/>
        <w:numPr>
          <w:ilvl w:val="0"/>
          <w:numId w:val="11"/>
        </w:numPr>
        <w:tabs>
          <w:tab w:val="num" w:pos="1134"/>
        </w:tabs>
        <w:spacing w:before="100" w:beforeAutospacing="1" w:after="100" w:afterAutospacing="1"/>
        <w:ind w:left="680" w:right="142" w:hanging="340"/>
        <w:rPr>
          <w:sz w:val="22"/>
          <w:szCs w:val="22"/>
        </w:rPr>
      </w:pPr>
      <w:r>
        <w:rPr>
          <w:sz w:val="22"/>
          <w:szCs w:val="22"/>
        </w:rPr>
        <w:t>authorised activities being actively conducted on all granted titles; and</w:t>
      </w:r>
    </w:p>
    <w:p w:rsidR="00892094" w:rsidRDefault="00892094" w:rsidP="007033B2">
      <w:pPr>
        <w:pStyle w:val="ListParagraph"/>
        <w:numPr>
          <w:ilvl w:val="0"/>
          <w:numId w:val="11"/>
        </w:numPr>
        <w:tabs>
          <w:tab w:val="num" w:pos="1134"/>
        </w:tabs>
        <w:spacing w:before="100" w:beforeAutospacing="1" w:after="100" w:afterAutospacing="1"/>
        <w:ind w:left="680" w:right="142" w:hanging="340"/>
        <w:rPr>
          <w:sz w:val="22"/>
          <w:szCs w:val="22"/>
        </w:rPr>
      </w:pPr>
      <w:proofErr w:type="gramStart"/>
      <w:r>
        <w:rPr>
          <w:sz w:val="22"/>
          <w:szCs w:val="22"/>
        </w:rPr>
        <w:t>any</w:t>
      </w:r>
      <w:proofErr w:type="gramEnd"/>
      <w:r>
        <w:rPr>
          <w:sz w:val="22"/>
          <w:szCs w:val="22"/>
        </w:rPr>
        <w:t xml:space="preserve"> other requirement under the Act and Regulations.</w:t>
      </w:r>
    </w:p>
    <w:p w:rsidR="00892094" w:rsidRPr="00B6753B" w:rsidRDefault="00892094" w:rsidP="007033B2">
      <w:pPr>
        <w:pStyle w:val="Heading2"/>
        <w:spacing w:before="100" w:beforeAutospacing="1" w:after="100" w:afterAutospacing="1"/>
        <w:rPr>
          <w:color w:val="1F1F5F" w:themeColor="text1"/>
          <w:sz w:val="30"/>
          <w:szCs w:val="30"/>
        </w:rPr>
      </w:pPr>
      <w:r w:rsidRPr="00B6753B">
        <w:rPr>
          <w:color w:val="1F1F5F" w:themeColor="text1"/>
          <w:sz w:val="30"/>
          <w:szCs w:val="30"/>
        </w:rPr>
        <w:t>Regulation 44 – Necessary criteria for miner</w:t>
      </w:r>
      <w:r w:rsidR="007033B2" w:rsidRPr="00B6753B">
        <w:rPr>
          <w:color w:val="1F1F5F" w:themeColor="text1"/>
          <w:sz w:val="30"/>
          <w:szCs w:val="30"/>
        </w:rPr>
        <w:t>a</w:t>
      </w:r>
      <w:r w:rsidRPr="00B6753B">
        <w:rPr>
          <w:color w:val="1F1F5F" w:themeColor="text1"/>
          <w:sz w:val="30"/>
          <w:szCs w:val="30"/>
        </w:rPr>
        <w:t>l title application</w:t>
      </w:r>
    </w:p>
    <w:p w:rsidR="00892094" w:rsidRDefault="00892094" w:rsidP="007033B2">
      <w:pPr>
        <w:spacing w:before="100" w:beforeAutospacing="1" w:after="100" w:afterAutospacing="1"/>
        <w:ind w:right="140"/>
        <w:rPr>
          <w:sz w:val="22"/>
          <w:szCs w:val="22"/>
        </w:rPr>
      </w:pPr>
      <w:r>
        <w:rPr>
          <w:sz w:val="22"/>
          <w:szCs w:val="22"/>
        </w:rPr>
        <w:t>For section 58(2</w:t>
      </w:r>
      <w:proofErr w:type="gramStart"/>
      <w:r>
        <w:rPr>
          <w:sz w:val="22"/>
          <w:szCs w:val="22"/>
        </w:rPr>
        <w:t>)(</w:t>
      </w:r>
      <w:proofErr w:type="gramEnd"/>
      <w:r>
        <w:rPr>
          <w:sz w:val="22"/>
          <w:szCs w:val="22"/>
        </w:rPr>
        <w:t>d) of the Act, the necessary criteria are:</w:t>
      </w:r>
    </w:p>
    <w:p w:rsidR="00892094" w:rsidRDefault="00892094" w:rsidP="007033B2">
      <w:pPr>
        <w:numPr>
          <w:ilvl w:val="0"/>
          <w:numId w:val="10"/>
        </w:numPr>
        <w:tabs>
          <w:tab w:val="clear" w:pos="2007"/>
          <w:tab w:val="num" w:pos="851"/>
        </w:tabs>
        <w:spacing w:before="100" w:beforeAutospacing="1" w:after="100" w:afterAutospacing="1"/>
        <w:ind w:left="425" w:right="142" w:hanging="425"/>
        <w:rPr>
          <w:sz w:val="22"/>
          <w:szCs w:val="22"/>
        </w:rPr>
      </w:pPr>
      <w:r>
        <w:rPr>
          <w:sz w:val="22"/>
          <w:szCs w:val="22"/>
        </w:rPr>
        <w:t>If the applicant has previously held one or more mineral titles that are no longer in force they must have:</w:t>
      </w:r>
      <w:r w:rsidR="00627FC3">
        <w:rPr>
          <w:sz w:val="22"/>
          <w:szCs w:val="22"/>
        </w:rPr>
        <w:br/>
      </w:r>
    </w:p>
    <w:p w:rsidR="00892094" w:rsidRDefault="00892094" w:rsidP="007033B2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/>
        <w:ind w:left="850" w:right="142" w:hanging="425"/>
        <w:rPr>
          <w:sz w:val="22"/>
          <w:szCs w:val="22"/>
        </w:rPr>
      </w:pPr>
      <w:r>
        <w:rPr>
          <w:sz w:val="22"/>
          <w:szCs w:val="22"/>
        </w:rPr>
        <w:t>paid all outstanding rents and fees, including late lodgement fees; and</w:t>
      </w:r>
    </w:p>
    <w:p w:rsidR="00892094" w:rsidRDefault="00892094" w:rsidP="007033B2">
      <w:pPr>
        <w:numPr>
          <w:ilvl w:val="1"/>
          <w:numId w:val="10"/>
        </w:numPr>
        <w:tabs>
          <w:tab w:val="clear" w:pos="1440"/>
          <w:tab w:val="num" w:pos="851"/>
        </w:tabs>
        <w:spacing w:before="100" w:beforeAutospacing="1" w:after="100" w:afterAutospacing="1"/>
        <w:ind w:left="850" w:right="142" w:hanging="425"/>
        <w:rPr>
          <w:sz w:val="22"/>
          <w:szCs w:val="22"/>
        </w:rPr>
      </w:pPr>
      <w:proofErr w:type="gramStart"/>
      <w:r>
        <w:rPr>
          <w:sz w:val="22"/>
          <w:szCs w:val="22"/>
        </w:rPr>
        <w:t>substantially</w:t>
      </w:r>
      <w:proofErr w:type="gramEnd"/>
      <w:r>
        <w:rPr>
          <w:sz w:val="22"/>
          <w:szCs w:val="22"/>
        </w:rPr>
        <w:t xml:space="preserve"> complied with any rehabilitation matters, including progressive rehabilitation (where applicable) required under the </w:t>
      </w:r>
      <w:r w:rsidRPr="00034E60">
        <w:rPr>
          <w:i/>
          <w:sz w:val="22"/>
          <w:szCs w:val="22"/>
        </w:rPr>
        <w:t>Mining Management Act</w:t>
      </w:r>
      <w:r w:rsidR="00191E3A">
        <w:rPr>
          <w:i/>
          <w:sz w:val="22"/>
          <w:szCs w:val="22"/>
        </w:rPr>
        <w:t xml:space="preserve"> 2001</w:t>
      </w:r>
      <w:r>
        <w:rPr>
          <w:sz w:val="22"/>
          <w:szCs w:val="22"/>
        </w:rPr>
        <w:t xml:space="preserve"> and to the extent required by the Minister.</w:t>
      </w:r>
      <w:r w:rsidR="00B6753B">
        <w:rPr>
          <w:sz w:val="22"/>
          <w:szCs w:val="22"/>
        </w:rPr>
        <w:br/>
      </w:r>
    </w:p>
    <w:p w:rsidR="00892094" w:rsidRDefault="00892094" w:rsidP="007033B2">
      <w:pPr>
        <w:numPr>
          <w:ilvl w:val="0"/>
          <w:numId w:val="10"/>
        </w:numPr>
        <w:tabs>
          <w:tab w:val="clear" w:pos="2007"/>
          <w:tab w:val="num" w:pos="851"/>
        </w:tabs>
        <w:spacing w:before="100" w:beforeAutospacing="1" w:after="100" w:afterAutospacing="1"/>
        <w:ind w:left="425" w:right="142" w:hanging="425"/>
        <w:rPr>
          <w:sz w:val="22"/>
          <w:szCs w:val="22"/>
        </w:rPr>
      </w:pPr>
      <w:r>
        <w:rPr>
          <w:sz w:val="22"/>
          <w:szCs w:val="22"/>
        </w:rPr>
        <w:t xml:space="preserve">If the applicant is currently engaged in negotiations for the grant of a mineral title under the </w:t>
      </w:r>
      <w:r w:rsidRPr="005149B5">
        <w:rPr>
          <w:i/>
          <w:sz w:val="22"/>
          <w:szCs w:val="22"/>
        </w:rPr>
        <w:t>Native Title Act</w:t>
      </w:r>
      <w:r w:rsidR="00191E3A">
        <w:rPr>
          <w:i/>
          <w:sz w:val="22"/>
          <w:szCs w:val="22"/>
        </w:rPr>
        <w:t xml:space="preserve"> 1993</w:t>
      </w:r>
      <w:r>
        <w:rPr>
          <w:sz w:val="22"/>
          <w:szCs w:val="22"/>
        </w:rPr>
        <w:t xml:space="preserve"> Right to Negotiate process or the </w:t>
      </w:r>
      <w:r w:rsidRPr="005149B5">
        <w:rPr>
          <w:i/>
          <w:sz w:val="22"/>
          <w:szCs w:val="22"/>
        </w:rPr>
        <w:t>Aboriginal Land Rights (N</w:t>
      </w:r>
      <w:r w:rsidR="002466EA">
        <w:rPr>
          <w:i/>
          <w:sz w:val="22"/>
          <w:szCs w:val="22"/>
        </w:rPr>
        <w:t>orthern Territory</w:t>
      </w:r>
      <w:r w:rsidRPr="005149B5">
        <w:rPr>
          <w:i/>
          <w:sz w:val="22"/>
          <w:szCs w:val="22"/>
        </w:rPr>
        <w:t>) Act</w:t>
      </w:r>
      <w:r w:rsidR="002466EA">
        <w:rPr>
          <w:i/>
          <w:sz w:val="22"/>
          <w:szCs w:val="22"/>
        </w:rPr>
        <w:t xml:space="preserve"> 1976</w:t>
      </w:r>
      <w:r>
        <w:rPr>
          <w:sz w:val="22"/>
          <w:szCs w:val="22"/>
        </w:rPr>
        <w:t xml:space="preserve"> process – the applicant may be required to provide evidence they are actively negotiating with the intention of progressing the application towards the grant of a mineral title.</w:t>
      </w:r>
    </w:p>
    <w:p w:rsidR="00892094" w:rsidRPr="00104092" w:rsidRDefault="00892094" w:rsidP="007033B2">
      <w:pPr>
        <w:pStyle w:val="Heading3"/>
        <w:spacing w:before="100" w:beforeAutospacing="1" w:after="100" w:afterAutospacing="1"/>
        <w:rPr>
          <w:sz w:val="32"/>
        </w:rPr>
      </w:pPr>
      <w:r w:rsidRPr="00104092">
        <w:rPr>
          <w:sz w:val="32"/>
        </w:rPr>
        <w:lastRenderedPageBreak/>
        <w:t>Note for Regulation 44</w:t>
      </w:r>
    </w:p>
    <w:p w:rsidR="00B14257" w:rsidRPr="00104092" w:rsidRDefault="00892094" w:rsidP="007033B2">
      <w:pPr>
        <w:spacing w:before="100" w:beforeAutospacing="1" w:afterLines="60" w:after="144" w:afterAutospacing="1"/>
        <w:rPr>
          <w:sz w:val="22"/>
          <w:szCs w:val="22"/>
        </w:rPr>
      </w:pPr>
      <w:r>
        <w:rPr>
          <w:sz w:val="22"/>
          <w:szCs w:val="22"/>
        </w:rPr>
        <w:t>The determination as to the extent of compliance is a discretionary matter for the Minister, or their Delegate, based on particular facts and circumstances relating to conditions of grant and other requirements under the Act</w:t>
      </w:r>
      <w:r w:rsidR="00104092">
        <w:rPr>
          <w:sz w:val="22"/>
          <w:szCs w:val="22"/>
        </w:rPr>
        <w:t>.</w:t>
      </w:r>
    </w:p>
    <w:sectPr w:rsidR="00B14257" w:rsidRPr="00104092" w:rsidSect="00B675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42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62C" w:rsidRDefault="0013662C" w:rsidP="007332FF">
      <w:r>
        <w:separator/>
      </w:r>
    </w:p>
  </w:endnote>
  <w:endnote w:type="continuationSeparator" w:id="0">
    <w:p w:rsidR="0013662C" w:rsidRDefault="0013662C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A" w:rsidRDefault="00191E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Default="00983000" w:rsidP="00450636"/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CA36A0" w:rsidRPr="00132658" w:rsidTr="00D47DC7">
      <w:trPr>
        <w:cantSplit/>
        <w:trHeight w:hRule="exact" w:val="850"/>
      </w:trPr>
      <w:tc>
        <w:tcPr>
          <w:tcW w:w="10318" w:type="dxa"/>
          <w:vAlign w:val="bottom"/>
        </w:tcPr>
        <w:p w:rsidR="00D47DC7" w:rsidRDefault="00D47DC7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2472F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13662C" w:rsidP="00D47DC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91E3A">
                <w:rPr>
                  <w:rStyle w:val="PageNumber"/>
                </w:rPr>
                <w:t>5 February 2021</w:t>
              </w:r>
            </w:sdtContent>
          </w:sdt>
        </w:p>
        <w:p w:rsidR="00CA36A0" w:rsidRPr="00AC4488" w:rsidRDefault="00D47DC7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72F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72F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:rsidR="00CA36A0" w:rsidRPr="00B11C67" w:rsidRDefault="00CA36A0" w:rsidP="00B11C67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88" w:rsidRDefault="00D15D88" w:rsidP="0071700C"/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:rsidTr="008921B4">
      <w:trPr>
        <w:cantSplit/>
        <w:trHeight w:hRule="exact" w:val="1134"/>
      </w:trPr>
      <w:tc>
        <w:tcPr>
          <w:tcW w:w="7767" w:type="dxa"/>
          <w:vAlign w:val="bottom"/>
        </w:tcPr>
        <w:p w:rsidR="00D47DC7" w:rsidRDefault="00D47DC7" w:rsidP="00D47DC7">
          <w:pPr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02472F" w:rsidRPr="0002472F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D47DC7" w:rsidRPr="00CE6614" w:rsidRDefault="0013662C" w:rsidP="00D47DC7">
          <w:pPr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2-05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191E3A">
                <w:rPr>
                  <w:rStyle w:val="PageNumber"/>
                </w:rPr>
                <w:t>5 February 2021</w:t>
              </w:r>
            </w:sdtContent>
          </w:sdt>
        </w:p>
        <w:p w:rsidR="0071700C" w:rsidRPr="00CE30CF" w:rsidRDefault="00D47DC7" w:rsidP="00D47DC7">
          <w:pPr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72FF4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72FF4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:rsidR="0071700C" w:rsidRPr="001E14EB" w:rsidRDefault="0071700C" w:rsidP="0071700C">
          <w:pPr>
            <w:jc w:val="right"/>
          </w:pPr>
          <w:r>
            <w:rPr>
              <w:noProof/>
            </w:rPr>
            <w:drawing>
              <wp:inline distT="0" distB="0" distL="0" distR="0" wp14:anchorId="5FF007C5" wp14:editId="1666FCC4">
                <wp:extent cx="1572479" cy="561600"/>
                <wp:effectExtent l="0" t="0" r="8890" b="0"/>
                <wp:docPr id="4" name="Picture 4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</w:rPr>
            <w:t xml:space="preserve"> </w:t>
          </w:r>
        </w:p>
      </w:tc>
    </w:tr>
  </w:tbl>
  <w:p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62C" w:rsidRDefault="0013662C" w:rsidP="007332FF">
      <w:r>
        <w:separator/>
      </w:r>
    </w:p>
  </w:footnote>
  <w:footnote w:type="continuationSeparator" w:id="0">
    <w:p w:rsidR="0013662C" w:rsidRDefault="0013662C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A" w:rsidRDefault="00191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13662C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A3B9C">
          <w:t>Guideline 1 - Necessary criteria for mineral title application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E54F9E" w:rsidRDefault="00AA3B9C" w:rsidP="00435082">
        <w:pPr>
          <w:pStyle w:val="Title"/>
        </w:pPr>
        <w:r>
          <w:rPr>
            <w:rStyle w:val="TitleChar"/>
          </w:rPr>
          <w:t>Guideline 1 - Necessary criteria for</w:t>
        </w:r>
        <w:r w:rsidR="00892094">
          <w:rPr>
            <w:rStyle w:val="TitleChar"/>
          </w:rPr>
          <w:t xml:space="preserve"> mineral title application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7583AB8"/>
    <w:multiLevelType w:val="hybridMultilevel"/>
    <w:tmpl w:val="C59EB552"/>
    <w:lvl w:ilvl="0" w:tplc="9EF22644">
      <w:start w:val="1"/>
      <w:numFmt w:val="decimal"/>
      <w:lvlText w:val="(%1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8D78A872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3D81369B"/>
    <w:multiLevelType w:val="hybridMultilevel"/>
    <w:tmpl w:val="48D6B2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4D6141FF"/>
    <w:multiLevelType w:val="hybridMultilevel"/>
    <w:tmpl w:val="4DE82582"/>
    <w:lvl w:ilvl="0" w:tplc="8D78A872">
      <w:start w:val="1"/>
      <w:numFmt w:val="lowerLetter"/>
      <w:lvlText w:val="(%1)"/>
      <w:lvlJc w:val="left"/>
      <w:pPr>
        <w:tabs>
          <w:tab w:val="num" w:pos="1543"/>
        </w:tabs>
        <w:ind w:left="15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 w15:restartNumberingAfterBreak="0">
    <w:nsid w:val="53842BC6"/>
    <w:multiLevelType w:val="multilevel"/>
    <w:tmpl w:val="0C78A7AC"/>
    <w:numStyleLink w:val="Tablebulletlist"/>
  </w:abstractNum>
  <w:abstractNum w:abstractNumId="28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0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1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2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3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6"/>
  </w:num>
  <w:num w:numId="4">
    <w:abstractNumId w:val="24"/>
  </w:num>
  <w:num w:numId="5">
    <w:abstractNumId w:val="16"/>
  </w:num>
  <w:num w:numId="6">
    <w:abstractNumId w:val="8"/>
  </w:num>
  <w:num w:numId="7">
    <w:abstractNumId w:val="27"/>
  </w:num>
  <w:num w:numId="8">
    <w:abstractNumId w:val="15"/>
  </w:num>
  <w:num w:numId="9">
    <w:abstractNumId w:val="26"/>
  </w:num>
  <w:num w:numId="10">
    <w:abstractNumId w:val="5"/>
  </w:num>
  <w:num w:numId="1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4"/>
    <w:rsid w:val="00001DDF"/>
    <w:rsid w:val="0000322D"/>
    <w:rsid w:val="00007670"/>
    <w:rsid w:val="00010665"/>
    <w:rsid w:val="0002393A"/>
    <w:rsid w:val="0002472F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092"/>
    <w:rsid w:val="00104E7F"/>
    <w:rsid w:val="001137EC"/>
    <w:rsid w:val="001152F5"/>
    <w:rsid w:val="00117743"/>
    <w:rsid w:val="00117F5B"/>
    <w:rsid w:val="00132658"/>
    <w:rsid w:val="0013662C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1E3A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66EA"/>
    <w:rsid w:val="00247343"/>
    <w:rsid w:val="00265C56"/>
    <w:rsid w:val="002716CD"/>
    <w:rsid w:val="00272FF4"/>
    <w:rsid w:val="00274D4B"/>
    <w:rsid w:val="002806F5"/>
    <w:rsid w:val="00281577"/>
    <w:rsid w:val="00287D73"/>
    <w:rsid w:val="002926BC"/>
    <w:rsid w:val="00293A72"/>
    <w:rsid w:val="0029716F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40222A"/>
    <w:rsid w:val="004047BC"/>
    <w:rsid w:val="004100F7"/>
    <w:rsid w:val="00414CB3"/>
    <w:rsid w:val="0041563D"/>
    <w:rsid w:val="00426E25"/>
    <w:rsid w:val="00427D9C"/>
    <w:rsid w:val="00427E7E"/>
    <w:rsid w:val="0043465D"/>
    <w:rsid w:val="00435082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3BD1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B5C8E"/>
    <w:rsid w:val="005C2833"/>
    <w:rsid w:val="005E144D"/>
    <w:rsid w:val="005E1500"/>
    <w:rsid w:val="005E3A43"/>
    <w:rsid w:val="005F0B17"/>
    <w:rsid w:val="005F6602"/>
    <w:rsid w:val="005F77C7"/>
    <w:rsid w:val="00620675"/>
    <w:rsid w:val="00622910"/>
    <w:rsid w:val="006254B6"/>
    <w:rsid w:val="00627FC3"/>
    <w:rsid w:val="00627FC8"/>
    <w:rsid w:val="006433C3"/>
    <w:rsid w:val="00650F5B"/>
    <w:rsid w:val="006670D7"/>
    <w:rsid w:val="006719EA"/>
    <w:rsid w:val="00671F13"/>
    <w:rsid w:val="0067400A"/>
    <w:rsid w:val="006847AD"/>
    <w:rsid w:val="0069114B"/>
    <w:rsid w:val="006944C1"/>
    <w:rsid w:val="006A756A"/>
    <w:rsid w:val="006C0EC2"/>
    <w:rsid w:val="006D66F7"/>
    <w:rsid w:val="007033B2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2094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739D"/>
    <w:rsid w:val="00A37DDA"/>
    <w:rsid w:val="00A45005"/>
    <w:rsid w:val="00A567EE"/>
    <w:rsid w:val="00A70DD8"/>
    <w:rsid w:val="00A76790"/>
    <w:rsid w:val="00A85D0C"/>
    <w:rsid w:val="00A925EC"/>
    <w:rsid w:val="00A929AA"/>
    <w:rsid w:val="00A92B6B"/>
    <w:rsid w:val="00AA3B9C"/>
    <w:rsid w:val="00AA541E"/>
    <w:rsid w:val="00AD0DA4"/>
    <w:rsid w:val="00AD4169"/>
    <w:rsid w:val="00AE25C6"/>
    <w:rsid w:val="00AE306C"/>
    <w:rsid w:val="00AF28C1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3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5D4D"/>
    <w:rsid w:val="00C175DC"/>
    <w:rsid w:val="00C30171"/>
    <w:rsid w:val="00C309D8"/>
    <w:rsid w:val="00C43519"/>
    <w:rsid w:val="00C45263"/>
    <w:rsid w:val="00C51537"/>
    <w:rsid w:val="00C52BC3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CF7EA4"/>
    <w:rsid w:val="00D02F07"/>
    <w:rsid w:val="00D15D88"/>
    <w:rsid w:val="00D27D49"/>
    <w:rsid w:val="00D27EBE"/>
    <w:rsid w:val="00D36A49"/>
    <w:rsid w:val="00D47DC7"/>
    <w:rsid w:val="00D50946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5285"/>
    <w:rsid w:val="00DB191D"/>
    <w:rsid w:val="00DB4F91"/>
    <w:rsid w:val="00DB6D0A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0D4E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59FDD1-75C4-4C7E-9846-EBC2F4DAE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094"/>
    <w:pPr>
      <w:spacing w:after="0"/>
    </w:pPr>
    <w:rPr>
      <w:rFonts w:eastAsia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hAnsi="Lato Semibold"/>
      <w:bCs/>
      <w:iCs/>
      <w:color w:val="454347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6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rFonts w:eastAsia="Times New Roman"/>
      <w:b/>
      <w:color w:val="1F1F5F" w:themeColor="text1"/>
      <w:sz w:val="24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rFonts w:eastAsia="Times New Roman"/>
      <w:b/>
      <w:color w:val="606060"/>
      <w:sz w:val="24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rFonts w:eastAsia="Times New Roman"/>
      <w:b/>
      <w:color w:val="1F1F5F" w:themeColor="text1"/>
      <w:sz w:val="24"/>
      <w:szCs w:val="20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rFonts w:eastAsia="Times New Roman"/>
      <w:b/>
      <w:color w:val="606060"/>
      <w:sz w:val="24"/>
      <w:szCs w:val="2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rFonts w:eastAsia="Times New Roman"/>
      <w:b/>
      <w:color w:val="1F1F5F" w:themeColor="text1"/>
      <w:sz w:val="24"/>
      <w:szCs w:val="20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Templates%20-%20Memos%20&amp;%20Letters\General%20Template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2021-02-05T00:00:00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F978EF-0B45-4714-9D13-77610AB71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Template.dotx</Template>
  <TotalTime>6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 1 - Necessary criteria for mineral title application</vt:lpstr>
    </vt:vector>
  </TitlesOfParts>
  <Company>Industry, Tourism and Trade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 1 - Necessary criteria for mineral title application</dc:title>
  <dc:creator>Northern Territory Government</dc:creator>
  <cp:lastModifiedBy>Andrea Ruske</cp:lastModifiedBy>
  <cp:revision>2</cp:revision>
  <cp:lastPrinted>2021-02-15T04:42:00Z</cp:lastPrinted>
  <dcterms:created xsi:type="dcterms:W3CDTF">2021-02-15T05:42:00Z</dcterms:created>
  <dcterms:modified xsi:type="dcterms:W3CDTF">2021-02-15T05:42:00Z</dcterms:modified>
</cp:coreProperties>
</file>