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sz w:val="52"/>
          <w:szCs w:val="56"/>
        </w:rPr>
        <w:alias w:val="Title"/>
        <w:tag w:val="Title"/>
        <w:id w:val="-509755993"/>
        <w:placeholder>
          <w:docPart w:val="B97A797000A141C8B7D2D1B3E96A349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15804D1D" w14:textId="76BA759A" w:rsidR="00D61FD1" w:rsidRPr="00EE039D" w:rsidRDefault="009406E1" w:rsidP="00D61FD1">
          <w:pPr>
            <w:pStyle w:val="Title"/>
            <w:rPr>
              <w:sz w:val="56"/>
            </w:rPr>
          </w:pPr>
          <w:r>
            <w:rPr>
              <w:rStyle w:val="TitleChar"/>
              <w:sz w:val="52"/>
              <w:szCs w:val="56"/>
            </w:rPr>
            <w:t xml:space="preserve">Transfer of </w:t>
          </w:r>
          <w:r w:rsidR="00CF2596">
            <w:rPr>
              <w:rStyle w:val="TitleChar"/>
              <w:sz w:val="52"/>
              <w:szCs w:val="56"/>
            </w:rPr>
            <w:t>g</w:t>
          </w:r>
          <w:r>
            <w:rPr>
              <w:rStyle w:val="TitleChar"/>
              <w:sz w:val="52"/>
              <w:szCs w:val="56"/>
            </w:rPr>
            <w:t xml:space="preserve">aming </w:t>
          </w:r>
          <w:r w:rsidR="00CF2596">
            <w:rPr>
              <w:rStyle w:val="TitleChar"/>
              <w:sz w:val="52"/>
              <w:szCs w:val="56"/>
            </w:rPr>
            <w:t>m</w:t>
          </w:r>
          <w:r>
            <w:rPr>
              <w:rStyle w:val="TitleChar"/>
              <w:sz w:val="52"/>
              <w:szCs w:val="56"/>
            </w:rPr>
            <w:t xml:space="preserve">achine </w:t>
          </w:r>
          <w:r w:rsidR="00CF2596">
            <w:rPr>
              <w:rStyle w:val="TitleChar"/>
              <w:sz w:val="52"/>
              <w:szCs w:val="56"/>
            </w:rPr>
            <w:t>l</w:t>
          </w:r>
          <w:r>
            <w:rPr>
              <w:rStyle w:val="TitleChar"/>
              <w:sz w:val="52"/>
              <w:szCs w:val="56"/>
            </w:rPr>
            <w:t>icen</w:t>
          </w:r>
          <w:r w:rsidR="00CF2596">
            <w:rPr>
              <w:rStyle w:val="TitleChar"/>
              <w:sz w:val="52"/>
              <w:szCs w:val="56"/>
            </w:rPr>
            <w:t>c</w:t>
          </w:r>
          <w:r>
            <w:rPr>
              <w:rStyle w:val="TitleChar"/>
              <w:sz w:val="52"/>
              <w:szCs w:val="56"/>
            </w:rPr>
            <w:t>e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7EF9D9F3" w14:textId="1F448BE8" w:rsidR="00D52C9E" w:rsidRPr="00A36BBB" w:rsidRDefault="00D52C9E" w:rsidP="00CF2596">
      <w:pPr>
        <w:pStyle w:val="Heading1"/>
        <w:spacing w:after="0"/>
        <w:rPr>
          <w:rFonts w:asciiTheme="minorHAnsi" w:eastAsia="Calibri" w:hAnsiTheme="minorHAnsi" w:cs="Arial"/>
          <w:color w:val="auto"/>
          <w:kern w:val="0"/>
          <w:sz w:val="16"/>
          <w:szCs w:val="16"/>
          <w:shd w:val="clear" w:color="auto" w:fill="FFFFFF"/>
        </w:rPr>
      </w:pPr>
      <w:r w:rsidRPr="00A36BBB"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C19F55" wp14:editId="5315700B">
                <wp:simplePos x="0" y="0"/>
                <wp:positionH relativeFrom="margin">
                  <wp:posOffset>17780</wp:posOffset>
                </wp:positionH>
                <wp:positionV relativeFrom="paragraph">
                  <wp:posOffset>-320040</wp:posOffset>
                </wp:positionV>
                <wp:extent cx="6490335" cy="675640"/>
                <wp:effectExtent l="19050" t="19050" r="43815" b="292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5000" cap="flat" cmpd="thickThin" algn="ctr">
                          <a:solidFill>
                            <a:srgbClr val="1F1F5F">
                              <a:tint val="90000"/>
                              <a:satMod val="13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E1B550" w14:textId="0B5BE256" w:rsidR="00B40BC8" w:rsidRPr="00CF2596" w:rsidRDefault="008350FA" w:rsidP="00113362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A g</w:t>
                            </w:r>
                            <w:r w:rsidR="009406E1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aming </w:t>
                            </w:r>
                            <w:r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m</w:t>
                            </w:r>
                            <w:r w:rsidR="009406E1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achine </w:t>
                            </w:r>
                            <w:r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l</w:t>
                            </w:r>
                            <w:r w:rsidR="009406E1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icen</w:t>
                            </w:r>
                            <w:r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c</w:t>
                            </w:r>
                            <w:r w:rsidR="009406E1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e held by </w:t>
                            </w:r>
                            <w:r w:rsidR="007103D3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a </w:t>
                            </w:r>
                            <w:r w:rsidR="00596C03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hotel,</w:t>
                            </w:r>
                            <w:r w:rsidR="007103D3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 or </w:t>
                            </w:r>
                            <w:r w:rsidR="009406E1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>business</w:t>
                            </w:r>
                            <w:r w:rsidR="007103D3">
                              <w:rPr>
                                <w:rFonts w:asciiTheme="minorHAnsi" w:hAnsiTheme="minorHAnsi" w:cs="Arial"/>
                                <w:color w:val="1F1F1F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9406E1" w:rsidRPr="007103D3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>other than a club</w:t>
                            </w:r>
                            <w:r w:rsidR="009406E1" w:rsidRPr="009406E1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>,</w:t>
                            </w:r>
                            <w:r w:rsidR="00CF2596" w:rsidRPr="00CF2596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9406E1" w:rsidRPr="009406E1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>can be transferred</w:t>
                            </w:r>
                            <w:r w:rsidR="009406E1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 if authorised by the Director of Gaming Machines</w:t>
                            </w:r>
                            <w:r w:rsidR="001E6D28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 (</w:t>
                            </w:r>
                            <w:r w:rsidR="00602695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the </w:t>
                            </w:r>
                            <w:r w:rsidR="001E6D28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>Director)</w:t>
                            </w:r>
                            <w:r w:rsidR="00CF2596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 or their delegate</w:t>
                            </w:r>
                            <w:r w:rsidR="009406E1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, and </w:t>
                            </w:r>
                            <w:r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 xml:space="preserve">only </w:t>
                            </w:r>
                            <w:r w:rsidR="009406E1">
                              <w:rPr>
                                <w:rFonts w:asciiTheme="minorHAnsi" w:hAnsiTheme="minorHAnsi" w:cs="Arial"/>
                                <w:szCs w:val="30"/>
                                <w:shd w:val="clear" w:color="auto" w:fill="FFFFFF"/>
                              </w:rPr>
                              <w:t>after an application to transfer is approved.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9F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pt;margin-top:-25.2pt;width:511.05pt;height:5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" fillcolor="window" strokecolor="#5a5a81" strokeweight="1.52778mm">
                <v:stroke linestyle="thickThin"/>
                <v:textbox>
                  <w:txbxContent>
                    <w:p w14:paraId="29E1B550" w14:textId="0B5BE256" w:rsidR="00B40BC8" w:rsidRPr="00CF2596" w:rsidRDefault="008350FA" w:rsidP="00113362">
                      <w:pPr>
                        <w:jc w:val="both"/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A g</w:t>
                      </w:r>
                      <w:r w:rsidR="009406E1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aming </w:t>
                      </w:r>
                      <w:r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m</w:t>
                      </w:r>
                      <w:r w:rsidR="009406E1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achine </w:t>
                      </w:r>
                      <w:r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l</w:t>
                      </w:r>
                      <w:r w:rsidR="009406E1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icen</w:t>
                      </w:r>
                      <w:r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c</w:t>
                      </w:r>
                      <w:r w:rsidR="009406E1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e held by </w:t>
                      </w:r>
                      <w:r w:rsidR="007103D3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a </w:t>
                      </w:r>
                      <w:r w:rsidR="00596C03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hotel,</w:t>
                      </w:r>
                      <w:r w:rsidR="007103D3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 or </w:t>
                      </w:r>
                      <w:r w:rsidR="009406E1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>business</w:t>
                      </w:r>
                      <w:r w:rsidR="007103D3">
                        <w:rPr>
                          <w:rFonts w:asciiTheme="minorHAnsi" w:hAnsiTheme="minorHAnsi" w:cs="Arial"/>
                          <w:color w:val="1F1F1F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9406E1" w:rsidRPr="007103D3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>other than a club</w:t>
                      </w:r>
                      <w:r w:rsidR="009406E1" w:rsidRPr="009406E1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>,</w:t>
                      </w:r>
                      <w:r w:rsidR="00CF2596" w:rsidRPr="00CF2596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9406E1" w:rsidRPr="009406E1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>can be transferred</w:t>
                      </w:r>
                      <w:r w:rsidR="009406E1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 if authorised by the Director of Gaming Machines</w:t>
                      </w:r>
                      <w:r w:rsidR="001E6D28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 (</w:t>
                      </w:r>
                      <w:r w:rsidR="00602695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the </w:t>
                      </w:r>
                      <w:r w:rsidR="001E6D28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>Director)</w:t>
                      </w:r>
                      <w:r w:rsidR="00CF2596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 or their delegate</w:t>
                      </w:r>
                      <w:r w:rsidR="009406E1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, and </w:t>
                      </w:r>
                      <w:r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 xml:space="preserve">only </w:t>
                      </w:r>
                      <w:r w:rsidR="009406E1">
                        <w:rPr>
                          <w:rFonts w:asciiTheme="minorHAnsi" w:hAnsiTheme="minorHAnsi" w:cs="Arial"/>
                          <w:szCs w:val="30"/>
                          <w:shd w:val="clear" w:color="auto" w:fill="FFFFFF"/>
                        </w:rPr>
                        <w:t>after an application to transfer is approved.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9365EA" w14:textId="027DCD7D" w:rsidR="00FC77E8" w:rsidRPr="00D52C9E" w:rsidRDefault="00B73896" w:rsidP="00D52C9E">
      <w:pPr>
        <w:rPr>
          <w:rFonts w:ascii="LatoLatin Semibold" w:hAnsi="LatoLatin Semibold"/>
          <w:sz w:val="32"/>
          <w:szCs w:val="32"/>
        </w:rPr>
      </w:pPr>
      <w:r w:rsidRPr="00EE039D">
        <w:rPr>
          <w:noProof/>
          <w:sz w:val="32"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6DB3A18" wp14:editId="501C0E90">
                <wp:simplePos x="0" y="0"/>
                <wp:positionH relativeFrom="margin">
                  <wp:posOffset>635</wp:posOffset>
                </wp:positionH>
                <wp:positionV relativeFrom="paragraph">
                  <wp:posOffset>258445</wp:posOffset>
                </wp:positionV>
                <wp:extent cx="4239260" cy="7981950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E892" w14:textId="52772033" w:rsidR="00FC77E8" w:rsidRPr="00210F6A" w:rsidRDefault="003478B8" w:rsidP="00A17B9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CF2596">
                              <w:rPr>
                                <w:b/>
                              </w:rPr>
                              <w:t xml:space="preserve">n application to </w:t>
                            </w:r>
                            <w:r>
                              <w:rPr>
                                <w:b/>
                              </w:rPr>
                              <w:t xml:space="preserve">transfer </w:t>
                            </w:r>
                            <w:r w:rsidR="00602695">
                              <w:rPr>
                                <w:b/>
                              </w:rPr>
                              <w:t>a</w:t>
                            </w:r>
                            <w:r w:rsidR="00CF2596">
                              <w:rPr>
                                <w:b/>
                              </w:rPr>
                              <w:t xml:space="preserve"> gaming machine licence </w:t>
                            </w:r>
                            <w:r>
                              <w:rPr>
                                <w:b/>
                              </w:rPr>
                              <w:t>must be accompanied by the following</w:t>
                            </w:r>
                            <w:r w:rsidR="004B7492" w:rsidRPr="00210F6A">
                              <w:rPr>
                                <w:b/>
                              </w:rPr>
                              <w:t>:</w:t>
                            </w:r>
                          </w:p>
                          <w:p w14:paraId="4ED7E7F9" w14:textId="0311F30C" w:rsidR="00210F6A" w:rsidRDefault="003478B8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A copy of the application </w:t>
                            </w:r>
                            <w:r w:rsidR="00452878">
                              <w:t xml:space="preserve">made </w:t>
                            </w:r>
                            <w:r>
                              <w:t xml:space="preserve">under the </w:t>
                            </w:r>
                            <w:r w:rsidRPr="001E6D28">
                              <w:rPr>
                                <w:i/>
                                <w:iCs w:val="0"/>
                              </w:rPr>
                              <w:t>Liquor Act 2019</w:t>
                            </w:r>
                            <w:r>
                              <w:t xml:space="preserve"> for </w:t>
                            </w:r>
                            <w:r w:rsidR="00452878">
                              <w:t xml:space="preserve">the </w:t>
                            </w:r>
                            <w:r>
                              <w:t>transfer of the liquor licen</w:t>
                            </w:r>
                            <w:r w:rsidR="00452878">
                              <w:t>c</w:t>
                            </w:r>
                            <w:r>
                              <w:t xml:space="preserve">e or evidence that the application </w:t>
                            </w:r>
                            <w:r w:rsidR="009825A9">
                              <w:t>has been submitted</w:t>
                            </w:r>
                            <w:r w:rsidR="00A36BBB">
                              <w:t>.</w:t>
                            </w:r>
                          </w:p>
                          <w:p w14:paraId="2A01100E" w14:textId="0F404897" w:rsidR="003478B8" w:rsidRPr="00BF6A7C" w:rsidRDefault="00452878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>I</w:t>
                            </w:r>
                            <w:r w:rsidR="001007B9">
                              <w:t>nformation or material</w:t>
                            </w:r>
                            <w:r>
                              <w:t xml:space="preserve"> required by section 38 of</w:t>
                            </w:r>
                            <w:r w:rsidR="007103D3" w:rsidRPr="007103D3">
                              <w:rPr>
                                <w:i/>
                                <w:iCs w:val="0"/>
                              </w:rPr>
                              <w:t xml:space="preserve"> </w:t>
                            </w:r>
                            <w:r w:rsidR="007103D3" w:rsidRPr="00452878">
                              <w:t>the</w:t>
                            </w:r>
                            <w:r w:rsidR="007103D3" w:rsidRPr="007103D3">
                              <w:rPr>
                                <w:i/>
                                <w:iCs w:val="0"/>
                              </w:rPr>
                              <w:t xml:space="preserve"> Gaming </w:t>
                            </w:r>
                            <w:r w:rsidR="007103D3" w:rsidRPr="00BF6A7C">
                              <w:rPr>
                                <w:i/>
                                <w:iCs w:val="0"/>
                              </w:rPr>
                              <w:t>Machine Act 1995</w:t>
                            </w:r>
                            <w:r w:rsidR="007D7997">
                              <w:t xml:space="preserve"> (the Act)</w:t>
                            </w:r>
                          </w:p>
                          <w:p w14:paraId="13E4DE90" w14:textId="0FA12A8D" w:rsidR="000C7C01" w:rsidRPr="00BF6A7C" w:rsidRDefault="001007B9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 w:rsidRPr="00BF6A7C">
                              <w:t xml:space="preserve">A community impact analysis </w:t>
                            </w:r>
                            <w:r w:rsidR="007D7997">
                              <w:t>(</w:t>
                            </w:r>
                            <w:r w:rsidRPr="00BF6A7C">
                              <w:t>if required</w:t>
                            </w:r>
                            <w:r w:rsidR="00602695">
                              <w:t xml:space="preserve"> by the Director</w:t>
                            </w:r>
                            <w:r w:rsidR="007D7997">
                              <w:t>)</w:t>
                            </w:r>
                          </w:p>
                          <w:p w14:paraId="4E3AE88B" w14:textId="62A5D525" w:rsidR="00210F6A" w:rsidRDefault="001007B9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>Details of the proposed transferee’s harm minimisation</w:t>
                            </w:r>
                            <w:r w:rsidR="00BF6A7C">
                              <w:t xml:space="preserve"> and </w:t>
                            </w:r>
                            <w:r>
                              <w:t>responsible gambling strategies</w:t>
                            </w:r>
                            <w:r w:rsidR="00A36BBB">
                              <w:t>.</w:t>
                            </w:r>
                          </w:p>
                          <w:p w14:paraId="7B94CB05" w14:textId="0EEED8B8" w:rsidR="001007B9" w:rsidRDefault="001007B9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An affidavit </w:t>
                            </w:r>
                            <w:r w:rsidR="001E6D28">
                              <w:t>under section 44</w:t>
                            </w:r>
                            <w:r w:rsidR="00452878">
                              <w:t>(1)</w:t>
                            </w:r>
                            <w:r w:rsidR="007D7997">
                              <w:t xml:space="preserve"> of the Act</w:t>
                            </w:r>
                            <w:r w:rsidR="00A36BBB">
                              <w:t>.</w:t>
                            </w:r>
                          </w:p>
                          <w:p w14:paraId="75511D1B" w14:textId="0F154610" w:rsidR="001E6D28" w:rsidRDefault="001E6D28" w:rsidP="001E6D2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Any other information or material </w:t>
                            </w:r>
                            <w:r w:rsidR="009825A9">
                              <w:t xml:space="preserve">as requested </w:t>
                            </w:r>
                            <w:r>
                              <w:t>by the Director.</w:t>
                            </w:r>
                          </w:p>
                          <w:p w14:paraId="4CAA4558" w14:textId="77777777" w:rsidR="001E6D28" w:rsidRPr="00A36BBB" w:rsidRDefault="001E6D28" w:rsidP="00CF2596">
                            <w:pPr>
                              <w:pStyle w:val="ListParagraph"/>
                              <w:spacing w:after="60"/>
                              <w:ind w:left="-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2C0A22D" w14:textId="170D00E5" w:rsidR="001E6D28" w:rsidRPr="00D52C9E" w:rsidRDefault="001E6D28" w:rsidP="00D52C9E">
                            <w:pPr>
                              <w:spacing w:after="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E6D28">
                              <w:rPr>
                                <w:b/>
                                <w:bCs/>
                              </w:rPr>
                              <w:t>Cashless gaming systems and monitoring provider:</w:t>
                            </w:r>
                          </w:p>
                          <w:p w14:paraId="360DA10A" w14:textId="7BFCC103" w:rsidR="001E6D28" w:rsidRDefault="001E6D28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>The only approved cashless gaming system in the NT is the “Ticket-In-Ticket-Out” (TITO)</w:t>
                            </w:r>
                            <w:r w:rsidR="00BF6A7C">
                              <w:t>.</w:t>
                            </w:r>
                            <w:r w:rsidR="00B73896">
                              <w:t xml:space="preserve"> Licensees must request approval to roll out TITO in their venue</w:t>
                            </w:r>
                            <w:r w:rsidR="00A36BBB">
                              <w:t>.</w:t>
                            </w:r>
                          </w:p>
                          <w:p w14:paraId="72D7878E" w14:textId="721B3B83" w:rsidR="001E6D28" w:rsidRDefault="00452878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>MAX (formerly M</w:t>
                            </w:r>
                            <w:r w:rsidR="00B73896">
                              <w:t>axG</w:t>
                            </w:r>
                            <w:r>
                              <w:t xml:space="preserve">aming) is the </w:t>
                            </w:r>
                            <w:r w:rsidR="007D7997">
                              <w:t>sole licensed</w:t>
                            </w:r>
                            <w:r>
                              <w:t xml:space="preserve"> monitoring provider </w:t>
                            </w:r>
                            <w:r w:rsidR="007D7997">
                              <w:t>authorised in the NT.</w:t>
                            </w:r>
                          </w:p>
                          <w:p w14:paraId="6C50CC51" w14:textId="77777777" w:rsidR="008A5680" w:rsidRPr="00A36BBB" w:rsidRDefault="008A5680" w:rsidP="00CF2596">
                            <w:pPr>
                              <w:spacing w:after="60"/>
                              <w:ind w:left="-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645372" w14:textId="725C45AC" w:rsidR="00B25012" w:rsidRPr="00D52C9E" w:rsidRDefault="008A5680" w:rsidP="00D52C9E">
                            <w:pPr>
                              <w:spacing w:after="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A5680">
                              <w:rPr>
                                <w:b/>
                                <w:bCs/>
                              </w:rPr>
                              <w:t>Unclaimed TITO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tickets</w:t>
                            </w:r>
                            <w:r w:rsidR="00B73896">
                              <w:rPr>
                                <w:b/>
                                <w:bCs/>
                              </w:rPr>
                              <w:t xml:space="preserve"> as per Directions issued to Gaming Machine Licensees</w:t>
                            </w:r>
                            <w:r w:rsidR="007103D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CAF8A55" w14:textId="2A859CCF" w:rsidR="00452878" w:rsidRDefault="00452878" w:rsidP="00F105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Each quarter, a </w:t>
                            </w:r>
                            <w:r w:rsidR="00B73896">
                              <w:t xml:space="preserve">gaming machine </w:t>
                            </w:r>
                            <w:r>
                              <w:t>licensee is required to run a report through the MAX portal for all TITO tickets that remain unclaimed for a period greater than 365 days and submit those funds to the Director</w:t>
                            </w:r>
                            <w:r w:rsidR="00A36BBB">
                              <w:t>.</w:t>
                            </w:r>
                          </w:p>
                          <w:p w14:paraId="2852F712" w14:textId="62DD6978" w:rsidR="004E5E75" w:rsidRDefault="00452878" w:rsidP="004E5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Section 39(b)(2) </w:t>
                            </w:r>
                            <w:r w:rsidR="00B73896">
                              <w:t xml:space="preserve">of the Act </w:t>
                            </w:r>
                            <w:r>
                              <w:t>provides that the transfer of the licen</w:t>
                            </w:r>
                            <w:r w:rsidR="00B73896">
                              <w:t>c</w:t>
                            </w:r>
                            <w:r>
                              <w:t xml:space="preserve">e does not affect the liability of the former licensee in relation to anything that </w:t>
                            </w:r>
                            <w:r w:rsidR="009825A9">
                              <w:t xml:space="preserve">has </w:t>
                            </w:r>
                            <w:r>
                              <w:t xml:space="preserve">occurred </w:t>
                            </w:r>
                            <w:r w:rsidR="009825A9">
                              <w:t xml:space="preserve">prior to the </w:t>
                            </w:r>
                            <w:r>
                              <w:t>transfer date</w:t>
                            </w:r>
                            <w:r w:rsidR="00A36BBB">
                              <w:t>.</w:t>
                            </w:r>
                          </w:p>
                          <w:p w14:paraId="75650B2C" w14:textId="2B7D5AD2" w:rsidR="006E44C7" w:rsidRDefault="006E44C7" w:rsidP="004E5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>
                              <w:t xml:space="preserve">Noting the points above, </w:t>
                            </w:r>
                            <w:r w:rsidR="007D35D6">
                              <w:t xml:space="preserve">incoming licensees will inherit the unclaimed TITO ticket liability </w:t>
                            </w:r>
                            <w:r w:rsidR="009825A9">
                              <w:t>which</w:t>
                            </w:r>
                            <w:r w:rsidR="007D35D6">
                              <w:t xml:space="preserve"> should be incorporated in the commercial discussions between </w:t>
                            </w:r>
                            <w:r w:rsidR="009825A9">
                              <w:t xml:space="preserve">both </w:t>
                            </w:r>
                            <w:r w:rsidR="007D35D6">
                              <w:t>parties</w:t>
                            </w:r>
                            <w:r w:rsidR="008350FA">
                              <w:t xml:space="preserve"> as part of the transfer process.</w:t>
                            </w:r>
                          </w:p>
                          <w:p w14:paraId="6FE2F319" w14:textId="77777777" w:rsidR="004E5E75" w:rsidRPr="00A36BBB" w:rsidRDefault="004E5E75" w:rsidP="00CF2596">
                            <w:pPr>
                              <w:spacing w:after="60"/>
                              <w:ind w:left="-142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76AC9EB" w14:textId="058E7622" w:rsidR="00D52C9E" w:rsidRPr="00D52C9E" w:rsidRDefault="004E5E75" w:rsidP="00D52C9E">
                            <w:pPr>
                              <w:spacing w:after="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4E5E75">
                              <w:rPr>
                                <w:b/>
                                <w:bCs/>
                              </w:rPr>
                              <w:t>Gaming Machine Manager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EEDD722" w14:textId="65DB4890" w:rsidR="00D52C9E" w:rsidRPr="00BF6A7C" w:rsidRDefault="004E5E75" w:rsidP="004E5E7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 w:rsidRPr="00BF6A7C">
                              <w:t xml:space="preserve">Only licensed </w:t>
                            </w:r>
                            <w:r w:rsidR="009825A9">
                              <w:t xml:space="preserve">gaming </w:t>
                            </w:r>
                            <w:r w:rsidRPr="00BF6A7C">
                              <w:t>machine managers employed by the licensee</w:t>
                            </w:r>
                            <w:r w:rsidR="00D52C9E" w:rsidRPr="00BF6A7C">
                              <w:t>,</w:t>
                            </w:r>
                            <w:r w:rsidR="00CF04A0" w:rsidRPr="00BF6A7C">
                              <w:t xml:space="preserve"> </w:t>
                            </w:r>
                            <w:r w:rsidR="00D52C9E" w:rsidRPr="00BF6A7C">
                              <w:t xml:space="preserve">are permitted to </w:t>
                            </w:r>
                            <w:r w:rsidR="00CF04A0" w:rsidRPr="00BF6A7C">
                              <w:t>carry</w:t>
                            </w:r>
                            <w:r w:rsidR="00D52C9E" w:rsidRPr="00BF6A7C">
                              <w:t xml:space="preserve"> out </w:t>
                            </w:r>
                            <w:r w:rsidR="008350FA">
                              <w:t xml:space="preserve">gaming machine </w:t>
                            </w:r>
                            <w:r w:rsidR="00D52C9E" w:rsidRPr="00BF6A7C">
                              <w:t xml:space="preserve">duties in respect of the </w:t>
                            </w:r>
                            <w:r w:rsidR="00D52C9E" w:rsidRPr="00114570">
                              <w:t>licensed premises</w:t>
                            </w:r>
                          </w:p>
                          <w:p w14:paraId="08B544F6" w14:textId="7554BA52" w:rsidR="00FC77E8" w:rsidRDefault="00D52C9E" w:rsidP="00D828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left="419" w:hanging="357"/>
                              <w:jc w:val="both"/>
                            </w:pPr>
                            <w:r w:rsidRPr="00BF6A7C">
                              <w:t xml:space="preserve">A licensee </w:t>
                            </w:r>
                            <w:r w:rsidR="00780E76" w:rsidRPr="00BF6A7C">
                              <w:t>shall</w:t>
                            </w:r>
                            <w:r w:rsidRPr="00BF6A7C">
                              <w:t xml:space="preserve"> ensure that there is always at least </w:t>
                            </w:r>
                            <w:r w:rsidRPr="00CF2596">
                              <w:rPr>
                                <w:b/>
                                <w:bCs/>
                              </w:rPr>
                              <w:t>ONE</w:t>
                            </w:r>
                            <w:r w:rsidRPr="00BF6A7C">
                              <w:t xml:space="preserve"> licensed machine manager</w:t>
                            </w:r>
                            <w:r w:rsidR="00BF6A7C">
                              <w:t xml:space="preserve"> present</w:t>
                            </w:r>
                            <w:r w:rsidR="007D35D6">
                              <w:t xml:space="preserve"> while gaming machines are in operation.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B3A18" id="_x0000_s1027" type="#_x0000_t202" style="position:absolute;margin-left:.05pt;margin-top:20.35pt;width:333.8pt;height:628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" stroked="f">
                <v:textbox>
                  <w:txbxContent>
                    <w:p w14:paraId="02F6E892" w14:textId="52772033" w:rsidR="00FC77E8" w:rsidRPr="00210F6A" w:rsidRDefault="003478B8" w:rsidP="00A17B9B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CF2596">
                        <w:rPr>
                          <w:b/>
                        </w:rPr>
                        <w:t xml:space="preserve">n application to </w:t>
                      </w:r>
                      <w:r>
                        <w:rPr>
                          <w:b/>
                        </w:rPr>
                        <w:t xml:space="preserve">transfer </w:t>
                      </w:r>
                      <w:r w:rsidR="00602695">
                        <w:rPr>
                          <w:b/>
                        </w:rPr>
                        <w:t>a</w:t>
                      </w:r>
                      <w:r w:rsidR="00CF2596">
                        <w:rPr>
                          <w:b/>
                        </w:rPr>
                        <w:t xml:space="preserve"> gaming machine licence </w:t>
                      </w:r>
                      <w:r>
                        <w:rPr>
                          <w:b/>
                        </w:rPr>
                        <w:t>must be accompanied by the following</w:t>
                      </w:r>
                      <w:r w:rsidR="004B7492" w:rsidRPr="00210F6A">
                        <w:rPr>
                          <w:b/>
                        </w:rPr>
                        <w:t>:</w:t>
                      </w:r>
                    </w:p>
                    <w:p w14:paraId="4ED7E7F9" w14:textId="0311F30C" w:rsidR="00210F6A" w:rsidRDefault="003478B8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A copy of the application </w:t>
                      </w:r>
                      <w:r w:rsidR="00452878">
                        <w:t xml:space="preserve">made </w:t>
                      </w:r>
                      <w:r>
                        <w:t xml:space="preserve">under the </w:t>
                      </w:r>
                      <w:r w:rsidRPr="001E6D28">
                        <w:rPr>
                          <w:i/>
                          <w:iCs w:val="0"/>
                        </w:rPr>
                        <w:t>Liquor Act 2019</w:t>
                      </w:r>
                      <w:r>
                        <w:t xml:space="preserve"> for </w:t>
                      </w:r>
                      <w:r w:rsidR="00452878">
                        <w:t xml:space="preserve">the </w:t>
                      </w:r>
                      <w:r>
                        <w:t>transfer of the liquor licen</w:t>
                      </w:r>
                      <w:r w:rsidR="00452878">
                        <w:t>c</w:t>
                      </w:r>
                      <w:r>
                        <w:t xml:space="preserve">e or evidence that the application </w:t>
                      </w:r>
                      <w:r w:rsidR="009825A9">
                        <w:t>has been submitted</w:t>
                      </w:r>
                      <w:r w:rsidR="00A36BBB">
                        <w:t>.</w:t>
                      </w:r>
                    </w:p>
                    <w:p w14:paraId="2A01100E" w14:textId="0F404897" w:rsidR="003478B8" w:rsidRPr="00BF6A7C" w:rsidRDefault="00452878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>I</w:t>
                      </w:r>
                      <w:r w:rsidR="001007B9">
                        <w:t>nformation or material</w:t>
                      </w:r>
                      <w:r>
                        <w:t xml:space="preserve"> required by section 38 of</w:t>
                      </w:r>
                      <w:r w:rsidR="007103D3" w:rsidRPr="007103D3">
                        <w:rPr>
                          <w:i/>
                          <w:iCs w:val="0"/>
                        </w:rPr>
                        <w:t xml:space="preserve"> </w:t>
                      </w:r>
                      <w:r w:rsidR="007103D3" w:rsidRPr="00452878">
                        <w:t>the</w:t>
                      </w:r>
                      <w:r w:rsidR="007103D3" w:rsidRPr="007103D3">
                        <w:rPr>
                          <w:i/>
                          <w:iCs w:val="0"/>
                        </w:rPr>
                        <w:t xml:space="preserve"> Gaming </w:t>
                      </w:r>
                      <w:r w:rsidR="007103D3" w:rsidRPr="00BF6A7C">
                        <w:rPr>
                          <w:i/>
                          <w:iCs w:val="0"/>
                        </w:rPr>
                        <w:t>Machine Act 1995</w:t>
                      </w:r>
                      <w:r w:rsidR="007D7997">
                        <w:t xml:space="preserve"> (the Act)</w:t>
                      </w:r>
                    </w:p>
                    <w:p w14:paraId="13E4DE90" w14:textId="0FA12A8D" w:rsidR="000C7C01" w:rsidRPr="00BF6A7C" w:rsidRDefault="001007B9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 w:rsidRPr="00BF6A7C">
                        <w:t xml:space="preserve">A community impact analysis </w:t>
                      </w:r>
                      <w:r w:rsidR="007D7997">
                        <w:t>(</w:t>
                      </w:r>
                      <w:r w:rsidRPr="00BF6A7C">
                        <w:t>if required</w:t>
                      </w:r>
                      <w:r w:rsidR="00602695">
                        <w:t xml:space="preserve"> by the Director</w:t>
                      </w:r>
                      <w:r w:rsidR="007D7997">
                        <w:t>)</w:t>
                      </w:r>
                    </w:p>
                    <w:p w14:paraId="4E3AE88B" w14:textId="62A5D525" w:rsidR="00210F6A" w:rsidRDefault="001007B9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>Details of the proposed transferee’s harm minimisation</w:t>
                      </w:r>
                      <w:r w:rsidR="00BF6A7C">
                        <w:t xml:space="preserve"> and </w:t>
                      </w:r>
                      <w:r>
                        <w:t>responsible gambling strategies</w:t>
                      </w:r>
                      <w:r w:rsidR="00A36BBB">
                        <w:t>.</w:t>
                      </w:r>
                    </w:p>
                    <w:p w14:paraId="7B94CB05" w14:textId="0EEED8B8" w:rsidR="001007B9" w:rsidRDefault="001007B9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An affidavit </w:t>
                      </w:r>
                      <w:r w:rsidR="001E6D28">
                        <w:t>under section 44</w:t>
                      </w:r>
                      <w:r w:rsidR="00452878">
                        <w:t>(1)</w:t>
                      </w:r>
                      <w:r w:rsidR="007D7997">
                        <w:t xml:space="preserve"> of the Act</w:t>
                      </w:r>
                      <w:r w:rsidR="00A36BBB">
                        <w:t>.</w:t>
                      </w:r>
                    </w:p>
                    <w:p w14:paraId="75511D1B" w14:textId="0F154610" w:rsidR="001E6D28" w:rsidRDefault="001E6D28" w:rsidP="001E6D2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Any other information or material </w:t>
                      </w:r>
                      <w:r w:rsidR="009825A9">
                        <w:t xml:space="preserve">as requested </w:t>
                      </w:r>
                      <w:r>
                        <w:t>by the Director.</w:t>
                      </w:r>
                    </w:p>
                    <w:p w14:paraId="4CAA4558" w14:textId="77777777" w:rsidR="001E6D28" w:rsidRPr="00A36BBB" w:rsidRDefault="001E6D28" w:rsidP="00CF2596">
                      <w:pPr>
                        <w:pStyle w:val="ListParagraph"/>
                        <w:spacing w:after="60"/>
                        <w:ind w:left="-142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22C0A22D" w14:textId="170D00E5" w:rsidR="001E6D28" w:rsidRPr="00D52C9E" w:rsidRDefault="001E6D28" w:rsidP="00D52C9E">
                      <w:pPr>
                        <w:spacing w:after="60"/>
                        <w:jc w:val="both"/>
                        <w:rPr>
                          <w:b/>
                          <w:bCs/>
                        </w:rPr>
                      </w:pPr>
                      <w:r w:rsidRPr="001E6D28">
                        <w:rPr>
                          <w:b/>
                          <w:bCs/>
                        </w:rPr>
                        <w:t>Cashless gaming systems and monitoring provider:</w:t>
                      </w:r>
                    </w:p>
                    <w:p w14:paraId="360DA10A" w14:textId="7BFCC103" w:rsidR="001E6D28" w:rsidRDefault="001E6D28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>The only approved cashless gaming system in the NT is the “Ticket-In-Ticket-Out” (TITO)</w:t>
                      </w:r>
                      <w:r w:rsidR="00BF6A7C">
                        <w:t>.</w:t>
                      </w:r>
                      <w:r w:rsidR="00B73896">
                        <w:t xml:space="preserve"> Licensees must request approval to roll out TITO in their venue</w:t>
                      </w:r>
                      <w:r w:rsidR="00A36BBB">
                        <w:t>.</w:t>
                      </w:r>
                    </w:p>
                    <w:p w14:paraId="72D7878E" w14:textId="721B3B83" w:rsidR="001E6D28" w:rsidRDefault="00452878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>MAX (formerly M</w:t>
                      </w:r>
                      <w:r w:rsidR="00B73896">
                        <w:t>axG</w:t>
                      </w:r>
                      <w:r>
                        <w:t xml:space="preserve">aming) is the </w:t>
                      </w:r>
                      <w:r w:rsidR="007D7997">
                        <w:t>sole licensed</w:t>
                      </w:r>
                      <w:r>
                        <w:t xml:space="preserve"> monitoring provider </w:t>
                      </w:r>
                      <w:r w:rsidR="007D7997">
                        <w:t>authorised in the NT.</w:t>
                      </w:r>
                    </w:p>
                    <w:p w14:paraId="6C50CC51" w14:textId="77777777" w:rsidR="008A5680" w:rsidRPr="00A36BBB" w:rsidRDefault="008A5680" w:rsidP="00CF2596">
                      <w:pPr>
                        <w:spacing w:after="60"/>
                        <w:ind w:left="-142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50645372" w14:textId="725C45AC" w:rsidR="00B25012" w:rsidRPr="00D52C9E" w:rsidRDefault="008A5680" w:rsidP="00D52C9E">
                      <w:pPr>
                        <w:spacing w:after="60"/>
                        <w:jc w:val="both"/>
                        <w:rPr>
                          <w:b/>
                          <w:bCs/>
                        </w:rPr>
                      </w:pPr>
                      <w:r w:rsidRPr="008A5680">
                        <w:rPr>
                          <w:b/>
                          <w:bCs/>
                        </w:rPr>
                        <w:t>Unclaimed TITO</w:t>
                      </w:r>
                      <w:r>
                        <w:rPr>
                          <w:b/>
                          <w:bCs/>
                        </w:rPr>
                        <w:t xml:space="preserve"> tickets</w:t>
                      </w:r>
                      <w:r w:rsidR="00B73896">
                        <w:rPr>
                          <w:b/>
                          <w:bCs/>
                        </w:rPr>
                        <w:t xml:space="preserve"> as per Directions issued to Gaming Machine Licensees</w:t>
                      </w:r>
                      <w:r w:rsidR="007103D3">
                        <w:rPr>
                          <w:b/>
                          <w:bCs/>
                        </w:rPr>
                        <w:t>:</w:t>
                      </w:r>
                    </w:p>
                    <w:p w14:paraId="5CAF8A55" w14:textId="2A859CCF" w:rsidR="00452878" w:rsidRDefault="00452878" w:rsidP="00F105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Each quarter, a </w:t>
                      </w:r>
                      <w:r w:rsidR="00B73896">
                        <w:t xml:space="preserve">gaming machine </w:t>
                      </w:r>
                      <w:r>
                        <w:t>licensee is required to run a report through the MAX portal for all TITO tickets that remain unclaimed for a period greater than 365 days and submit those funds to the Director</w:t>
                      </w:r>
                      <w:r w:rsidR="00A36BBB">
                        <w:t>.</w:t>
                      </w:r>
                    </w:p>
                    <w:p w14:paraId="2852F712" w14:textId="62DD6978" w:rsidR="004E5E75" w:rsidRDefault="00452878" w:rsidP="004E5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Section 39(b)(2) </w:t>
                      </w:r>
                      <w:r w:rsidR="00B73896">
                        <w:t xml:space="preserve">of the Act </w:t>
                      </w:r>
                      <w:r>
                        <w:t>provides that the transfer of the licen</w:t>
                      </w:r>
                      <w:r w:rsidR="00B73896">
                        <w:t>c</w:t>
                      </w:r>
                      <w:r>
                        <w:t xml:space="preserve">e does not affect the liability of the former licensee in relation to anything that </w:t>
                      </w:r>
                      <w:r w:rsidR="009825A9">
                        <w:t xml:space="preserve">has </w:t>
                      </w:r>
                      <w:r>
                        <w:t xml:space="preserve">occurred </w:t>
                      </w:r>
                      <w:r w:rsidR="009825A9">
                        <w:t xml:space="preserve">prior to the </w:t>
                      </w:r>
                      <w:r>
                        <w:t>transfer date</w:t>
                      </w:r>
                      <w:r w:rsidR="00A36BBB">
                        <w:t>.</w:t>
                      </w:r>
                    </w:p>
                    <w:p w14:paraId="75650B2C" w14:textId="2B7D5AD2" w:rsidR="006E44C7" w:rsidRDefault="006E44C7" w:rsidP="004E5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>
                        <w:t xml:space="preserve">Noting the points above, </w:t>
                      </w:r>
                      <w:r w:rsidR="007D35D6">
                        <w:t xml:space="preserve">incoming licensees will inherit the unclaimed TITO ticket liability </w:t>
                      </w:r>
                      <w:r w:rsidR="009825A9">
                        <w:t>which</w:t>
                      </w:r>
                      <w:r w:rsidR="007D35D6">
                        <w:t xml:space="preserve"> should be incorporated in the commercial discussions between </w:t>
                      </w:r>
                      <w:r w:rsidR="009825A9">
                        <w:t xml:space="preserve">both </w:t>
                      </w:r>
                      <w:r w:rsidR="007D35D6">
                        <w:t>parties</w:t>
                      </w:r>
                      <w:r w:rsidR="008350FA">
                        <w:t xml:space="preserve"> as part of the transfer process.</w:t>
                      </w:r>
                    </w:p>
                    <w:p w14:paraId="6FE2F319" w14:textId="77777777" w:rsidR="004E5E75" w:rsidRPr="00A36BBB" w:rsidRDefault="004E5E75" w:rsidP="00CF2596">
                      <w:pPr>
                        <w:spacing w:after="60"/>
                        <w:ind w:left="-142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576AC9EB" w14:textId="058E7622" w:rsidR="00D52C9E" w:rsidRPr="00D52C9E" w:rsidRDefault="004E5E75" w:rsidP="00D52C9E">
                      <w:pPr>
                        <w:spacing w:after="60"/>
                        <w:jc w:val="both"/>
                        <w:rPr>
                          <w:b/>
                          <w:bCs/>
                        </w:rPr>
                      </w:pPr>
                      <w:r w:rsidRPr="004E5E75">
                        <w:rPr>
                          <w:b/>
                          <w:bCs/>
                        </w:rPr>
                        <w:t>Gaming Machine Manager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4EEDD722" w14:textId="65DB4890" w:rsidR="00D52C9E" w:rsidRPr="00BF6A7C" w:rsidRDefault="004E5E75" w:rsidP="004E5E7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 w:rsidRPr="00BF6A7C">
                        <w:t xml:space="preserve">Only licensed </w:t>
                      </w:r>
                      <w:r w:rsidR="009825A9">
                        <w:t xml:space="preserve">gaming </w:t>
                      </w:r>
                      <w:r w:rsidRPr="00BF6A7C">
                        <w:t>machine managers employed by the licensee</w:t>
                      </w:r>
                      <w:r w:rsidR="00D52C9E" w:rsidRPr="00BF6A7C">
                        <w:t>,</w:t>
                      </w:r>
                      <w:r w:rsidR="00CF04A0" w:rsidRPr="00BF6A7C">
                        <w:t xml:space="preserve"> </w:t>
                      </w:r>
                      <w:r w:rsidR="00D52C9E" w:rsidRPr="00BF6A7C">
                        <w:t xml:space="preserve">are permitted to </w:t>
                      </w:r>
                      <w:r w:rsidR="00CF04A0" w:rsidRPr="00BF6A7C">
                        <w:t>carry</w:t>
                      </w:r>
                      <w:r w:rsidR="00D52C9E" w:rsidRPr="00BF6A7C">
                        <w:t xml:space="preserve"> out </w:t>
                      </w:r>
                      <w:r w:rsidR="008350FA">
                        <w:t xml:space="preserve">gaming machine </w:t>
                      </w:r>
                      <w:r w:rsidR="00D52C9E" w:rsidRPr="00BF6A7C">
                        <w:t xml:space="preserve">duties in respect of the </w:t>
                      </w:r>
                      <w:r w:rsidR="00D52C9E" w:rsidRPr="00114570">
                        <w:t>licensed premises</w:t>
                      </w:r>
                    </w:p>
                    <w:p w14:paraId="08B544F6" w14:textId="7554BA52" w:rsidR="00FC77E8" w:rsidRDefault="00D52C9E" w:rsidP="00D8285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60"/>
                        <w:ind w:left="419" w:hanging="357"/>
                        <w:jc w:val="both"/>
                      </w:pPr>
                      <w:r w:rsidRPr="00BF6A7C">
                        <w:t xml:space="preserve">A licensee </w:t>
                      </w:r>
                      <w:r w:rsidR="00780E76" w:rsidRPr="00BF6A7C">
                        <w:t>shall</w:t>
                      </w:r>
                      <w:r w:rsidRPr="00BF6A7C">
                        <w:t xml:space="preserve"> ensure that there is always at least </w:t>
                      </w:r>
                      <w:r w:rsidRPr="00CF2596">
                        <w:rPr>
                          <w:b/>
                          <w:bCs/>
                        </w:rPr>
                        <w:t>ONE</w:t>
                      </w:r>
                      <w:r w:rsidRPr="00BF6A7C">
                        <w:t xml:space="preserve"> licensed machine manager</w:t>
                      </w:r>
                      <w:r w:rsidR="00BF6A7C">
                        <w:t xml:space="preserve"> present</w:t>
                      </w:r>
                      <w:r w:rsidR="007D35D6">
                        <w:t xml:space="preserve"> while gaming machines are in operation.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C9E" w:rsidRPr="00D52C9E">
        <w:rPr>
          <w:rFonts w:ascii="LatoLatin Semibold" w:hAnsi="LatoLatin Semibold"/>
          <w:sz w:val="32"/>
          <w:szCs w:val="32"/>
        </w:rPr>
        <w:t>Information and material</w:t>
      </w:r>
      <w:r w:rsidR="00EF6769" w:rsidRPr="00EE039D">
        <w:rPr>
          <w:noProof/>
          <w:sz w:val="32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0E8102F" wp14:editId="511BFDE4">
                <wp:simplePos x="0" y="0"/>
                <wp:positionH relativeFrom="margin">
                  <wp:align>right</wp:align>
                </wp:positionH>
                <wp:positionV relativeFrom="paragraph">
                  <wp:posOffset>513801</wp:posOffset>
                </wp:positionV>
                <wp:extent cx="6549702" cy="603849"/>
                <wp:effectExtent l="0" t="0" r="381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702" cy="6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8A16" w14:textId="77777777" w:rsidR="00FC77E8" w:rsidRDefault="00FC77E8"/>
                          <w:p w14:paraId="17B53D6B" w14:textId="77777777" w:rsidR="00D04FC7" w:rsidRDefault="00D04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102F" id="_x0000_s1028" type="#_x0000_t202" style="position:absolute;margin-left:464.5pt;margin-top:40.45pt;width:515.7pt;height:47.5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5oEgIAAP0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" stroked="f">
                <v:textbox>
                  <w:txbxContent>
                    <w:p w14:paraId="3A638A16" w14:textId="77777777" w:rsidR="00FC77E8" w:rsidRDefault="00FC77E8"/>
                    <w:p w14:paraId="17B53D6B" w14:textId="77777777" w:rsidR="00D04FC7" w:rsidRDefault="00D04FC7"/>
                  </w:txbxContent>
                </v:textbox>
                <w10:wrap anchorx="margin"/>
              </v:shape>
            </w:pict>
          </mc:Fallback>
        </mc:AlternateContent>
      </w:r>
    </w:p>
    <w:p w14:paraId="5DB9831E" w14:textId="07A64674" w:rsidR="00FC77E8" w:rsidRPr="00FC77E8" w:rsidRDefault="00DF6786" w:rsidP="00FC77E8">
      <w:r>
        <w:rPr>
          <w:b/>
          <w:noProof/>
          <w:color w:val="1F1F5F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38960" wp14:editId="56C741D9">
                <wp:simplePos x="0" y="0"/>
                <wp:positionH relativeFrom="margin">
                  <wp:posOffset>4324985</wp:posOffset>
                </wp:positionH>
                <wp:positionV relativeFrom="paragraph">
                  <wp:posOffset>2421255</wp:posOffset>
                </wp:positionV>
                <wp:extent cx="2250440" cy="2457450"/>
                <wp:effectExtent l="0" t="0" r="0" b="0"/>
                <wp:wrapTight wrapText="bothSides">
                  <wp:wrapPolygon edited="0">
                    <wp:start x="0" y="0"/>
                    <wp:lineTo x="0" y="21433"/>
                    <wp:lineTo x="21393" y="21433"/>
                    <wp:lineTo x="21393" y="0"/>
                    <wp:lineTo x="0" y="0"/>
                  </wp:wrapPolygon>
                </wp:wrapTight>
                <wp:docPr id="2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2457450"/>
                        </a:xfrm>
                        <a:prstGeom prst="rect">
                          <a:avLst/>
                        </a:prstGeom>
                        <a:solidFill>
                          <a:srgbClr val="1F1F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FA9AA" w14:textId="72D2602E" w:rsidR="00213777" w:rsidRPr="00213777" w:rsidRDefault="00213777" w:rsidP="0021377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13777">
                              <w:rPr>
                                <w:sz w:val="40"/>
                                <w:szCs w:val="40"/>
                              </w:rPr>
                              <w:t>NOTE</w:t>
                            </w:r>
                          </w:p>
                          <w:p w14:paraId="7A527927" w14:textId="2E8B1811" w:rsidR="00213777" w:rsidRDefault="00A41F34" w:rsidP="005E68FC">
                            <w:pPr>
                              <w:jc w:val="both"/>
                            </w:pPr>
                            <w:r>
                              <w:t xml:space="preserve">During the </w:t>
                            </w:r>
                            <w:r w:rsidR="00087848">
                              <w:t>transfer</w:t>
                            </w:r>
                            <w:r>
                              <w:t xml:space="preserve"> process</w:t>
                            </w:r>
                            <w:r w:rsidR="00087848">
                              <w:t xml:space="preserve"> of the gaming machine licen</w:t>
                            </w:r>
                            <w:r w:rsidR="0050471F">
                              <w:t>c</w:t>
                            </w:r>
                            <w:r w:rsidR="00087848">
                              <w:t>e</w:t>
                            </w:r>
                            <w:r>
                              <w:t xml:space="preserve">, </w:t>
                            </w:r>
                            <w:r w:rsidR="00A132CE">
                              <w:t>any compliance related questions can be sent through to the gaming team via the below email.</w:t>
                            </w:r>
                          </w:p>
                          <w:p w14:paraId="389CBD67" w14:textId="2E3B900A" w:rsidR="00A41F34" w:rsidRDefault="00087848" w:rsidP="0008784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8784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CONTACT</w:t>
                            </w:r>
                          </w:p>
                          <w:p w14:paraId="2481504F" w14:textId="77777777" w:rsidR="00087848" w:rsidRPr="007D35D6" w:rsidRDefault="00000000" w:rsidP="00087848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9" w:history="1">
                              <w:r w:rsidR="00087848" w:rsidRPr="007D35D6">
                                <w:rPr>
                                  <w:rStyle w:val="Hyperlink"/>
                                  <w:color w:val="F2F2F2" w:themeColor="background1" w:themeShade="F2"/>
                                  <w:sz w:val="18"/>
                                  <w:szCs w:val="18"/>
                                </w:rPr>
                                <w:t>GamingMachineAct.DITT@nt.gov.au</w:t>
                              </w:r>
                            </w:hyperlink>
                          </w:p>
                          <w:p w14:paraId="143FA437" w14:textId="77777777" w:rsidR="00087848" w:rsidRPr="00A36BBB" w:rsidRDefault="00087848" w:rsidP="00087848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8960" id="Rectangle 1" o:spid="_x0000_s1029" style="position:absolute;margin-left:340.55pt;margin-top:190.65pt;width:177.2pt;height:19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" fillcolor="#1f1f5f" stroked="f" strokeweight="2pt">
                <v:textbox inset=",14.4pt,8.64pt,18pt">
                  <w:txbxContent>
                    <w:p w14:paraId="698FA9AA" w14:textId="72D2602E" w:rsidR="00213777" w:rsidRPr="00213777" w:rsidRDefault="00213777" w:rsidP="0021377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13777">
                        <w:rPr>
                          <w:sz w:val="40"/>
                          <w:szCs w:val="40"/>
                        </w:rPr>
                        <w:t>NOTE</w:t>
                      </w:r>
                    </w:p>
                    <w:p w14:paraId="7A527927" w14:textId="2E8B1811" w:rsidR="00213777" w:rsidRDefault="00A41F34" w:rsidP="005E68FC">
                      <w:pPr>
                        <w:jc w:val="both"/>
                      </w:pPr>
                      <w:r>
                        <w:t xml:space="preserve">During the </w:t>
                      </w:r>
                      <w:r w:rsidR="00087848">
                        <w:t>transfer</w:t>
                      </w:r>
                      <w:r>
                        <w:t xml:space="preserve"> process</w:t>
                      </w:r>
                      <w:r w:rsidR="00087848">
                        <w:t xml:space="preserve"> of the gaming machine licen</w:t>
                      </w:r>
                      <w:r w:rsidR="0050471F">
                        <w:t>c</w:t>
                      </w:r>
                      <w:r w:rsidR="00087848">
                        <w:t>e</w:t>
                      </w:r>
                      <w:r>
                        <w:t xml:space="preserve">, </w:t>
                      </w:r>
                      <w:r w:rsidR="00A132CE">
                        <w:t>any compliance related questions can be sent through to the gaming team via the below email.</w:t>
                      </w:r>
                    </w:p>
                    <w:p w14:paraId="389CBD67" w14:textId="2E3B900A" w:rsidR="00A41F34" w:rsidRDefault="00087848" w:rsidP="0008784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087848">
                        <w:rPr>
                          <w:color w:val="FFFFFF" w:themeColor="background1"/>
                          <w:sz w:val="40"/>
                          <w:szCs w:val="40"/>
                        </w:rPr>
                        <w:t>CONTACT</w:t>
                      </w:r>
                    </w:p>
                    <w:p w14:paraId="2481504F" w14:textId="77777777" w:rsidR="00087848" w:rsidRPr="007D35D6" w:rsidRDefault="00000000" w:rsidP="00087848">
                      <w:pPr>
                        <w:jc w:val="center"/>
                        <w:rPr>
                          <w:color w:val="F2F2F2" w:themeColor="background1" w:themeShade="F2"/>
                          <w:sz w:val="18"/>
                          <w:szCs w:val="18"/>
                          <w:u w:val="single"/>
                        </w:rPr>
                      </w:pPr>
                      <w:hyperlink r:id="rId10" w:history="1">
                        <w:r w:rsidR="00087848" w:rsidRPr="007D35D6">
                          <w:rPr>
                            <w:rStyle w:val="Hyperlink"/>
                            <w:color w:val="F2F2F2" w:themeColor="background1" w:themeShade="F2"/>
                            <w:sz w:val="18"/>
                            <w:szCs w:val="18"/>
                          </w:rPr>
                          <w:t>GamingMachineAct.DITT@nt.gov.au</w:t>
                        </w:r>
                      </w:hyperlink>
                    </w:p>
                    <w:p w14:paraId="143FA437" w14:textId="77777777" w:rsidR="00087848" w:rsidRPr="00A36BBB" w:rsidRDefault="00087848" w:rsidP="00087848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6BBB" w:rsidRPr="00B9152A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C0A6BEE" wp14:editId="7076A3A5">
                <wp:simplePos x="0" y="0"/>
                <wp:positionH relativeFrom="margin">
                  <wp:posOffset>4351655</wp:posOffset>
                </wp:positionH>
                <wp:positionV relativeFrom="paragraph">
                  <wp:posOffset>29210</wp:posOffset>
                </wp:positionV>
                <wp:extent cx="2189480" cy="1762042"/>
                <wp:effectExtent l="19050" t="19050" r="39370" b="2921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7620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5000" cap="flat" cmpd="thickThin" algn="ctr">
                          <a:solidFill>
                            <a:srgbClr val="1F1F5F">
                              <a:tint val="90000"/>
                              <a:satMod val="13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05B64E" w14:textId="4081F455" w:rsidR="00D63415" w:rsidRPr="00452878" w:rsidRDefault="00DA363F" w:rsidP="00D63415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452878">
                              <w:rPr>
                                <w:b/>
                                <w:color w:val="auto"/>
                                <w:u w:val="single"/>
                              </w:rPr>
                              <w:t>IMPORTANT</w:t>
                            </w:r>
                          </w:p>
                          <w:p w14:paraId="092F8D34" w14:textId="6B735734" w:rsidR="00357CF8" w:rsidRPr="00452878" w:rsidRDefault="00CF2596" w:rsidP="00D6341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 g</w:t>
                            </w:r>
                            <w:r w:rsidR="007103D3"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aming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m</w:t>
                            </w:r>
                            <w:r w:rsidR="007103D3"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achine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l</w:t>
                            </w:r>
                            <w:r w:rsidR="007103D3"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icen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</w:t>
                            </w:r>
                            <w:r w:rsidR="007103D3"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 held by a club cannot be transferred.</w:t>
                            </w:r>
                          </w:p>
                          <w:p w14:paraId="0AC9733E" w14:textId="7F507B08" w:rsidR="00452878" w:rsidRPr="00452878" w:rsidRDefault="00452878" w:rsidP="00D6341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The transfer of the gaming machine licen</w:t>
                            </w:r>
                            <w:r w:rsidR="00CF259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</w:t>
                            </w:r>
                            <w:r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e </w:t>
                            </w:r>
                            <w:r w:rsidR="00CF2596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is</w:t>
                            </w:r>
                            <w:r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reliant on a successful application to transfer the liquor licen</w:t>
                            </w:r>
                            <w:r w:rsidR="0050471F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</w:t>
                            </w:r>
                            <w:r w:rsidRPr="0045287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6BEE" id="Text Box 192" o:spid="_x0000_s1030" type="#_x0000_t202" style="position:absolute;margin-left:342.65pt;margin-top:2.3pt;width:172.4pt;height:138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" fillcolor="window" strokecolor="#5a5a81" strokeweight="1.52778mm">
                <v:stroke linestyle="thickThin"/>
                <v:textbox>
                  <w:txbxContent>
                    <w:p w14:paraId="2F05B64E" w14:textId="4081F455" w:rsidR="00D63415" w:rsidRPr="00452878" w:rsidRDefault="00DA363F" w:rsidP="00D63415">
                      <w:pPr>
                        <w:pStyle w:val="Heading1"/>
                        <w:spacing w:before="0"/>
                        <w:jc w:val="center"/>
                        <w:rPr>
                          <w:b/>
                          <w:color w:val="auto"/>
                          <w:u w:val="single"/>
                        </w:rPr>
                      </w:pPr>
                      <w:r w:rsidRPr="00452878">
                        <w:rPr>
                          <w:b/>
                          <w:color w:val="auto"/>
                          <w:u w:val="single"/>
                        </w:rPr>
                        <w:t>IMPORTANT</w:t>
                      </w:r>
                    </w:p>
                    <w:p w14:paraId="092F8D34" w14:textId="6B735734" w:rsidR="00357CF8" w:rsidRPr="00452878" w:rsidRDefault="00CF2596" w:rsidP="00D63415">
                      <w:pPr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A g</w:t>
                      </w:r>
                      <w:r w:rsidR="007103D3" w:rsidRPr="00452878">
                        <w:rPr>
                          <w:rFonts w:asciiTheme="minorHAnsi" w:hAnsiTheme="minorHAnsi"/>
                          <w:b/>
                          <w:bCs/>
                        </w:rPr>
                        <w:t xml:space="preserve">aming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m</w:t>
                      </w:r>
                      <w:r w:rsidR="007103D3" w:rsidRPr="00452878">
                        <w:rPr>
                          <w:rFonts w:asciiTheme="minorHAnsi" w:hAnsiTheme="minorHAnsi"/>
                          <w:b/>
                          <w:bCs/>
                        </w:rPr>
                        <w:t xml:space="preserve">achine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l</w:t>
                      </w:r>
                      <w:r w:rsidR="007103D3" w:rsidRPr="00452878">
                        <w:rPr>
                          <w:rFonts w:asciiTheme="minorHAnsi" w:hAnsiTheme="minorHAnsi"/>
                          <w:b/>
                          <w:bCs/>
                        </w:rPr>
                        <w:t>icen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c</w:t>
                      </w:r>
                      <w:r w:rsidR="007103D3" w:rsidRPr="00452878">
                        <w:rPr>
                          <w:rFonts w:asciiTheme="minorHAnsi" w:hAnsiTheme="minorHAnsi"/>
                          <w:b/>
                          <w:bCs/>
                        </w:rPr>
                        <w:t>e held by a club cannot be transferred.</w:t>
                      </w:r>
                    </w:p>
                    <w:p w14:paraId="0AC9733E" w14:textId="7F507B08" w:rsidR="00452878" w:rsidRPr="00452878" w:rsidRDefault="00452878" w:rsidP="00D63415">
                      <w:pPr>
                        <w:jc w:val="both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452878">
                        <w:rPr>
                          <w:rFonts w:asciiTheme="minorHAnsi" w:hAnsiTheme="minorHAnsi"/>
                          <w:b/>
                          <w:bCs/>
                        </w:rPr>
                        <w:t>The transfer of the gaming machine licen</w:t>
                      </w:r>
                      <w:r w:rsidR="00CF2596">
                        <w:rPr>
                          <w:rFonts w:asciiTheme="minorHAnsi" w:hAnsiTheme="minorHAnsi"/>
                          <w:b/>
                          <w:bCs/>
                        </w:rPr>
                        <w:t>c</w:t>
                      </w:r>
                      <w:r w:rsidRPr="00452878">
                        <w:rPr>
                          <w:rFonts w:asciiTheme="minorHAnsi" w:hAnsiTheme="minorHAnsi"/>
                          <w:b/>
                          <w:bCs/>
                        </w:rPr>
                        <w:t xml:space="preserve">e </w:t>
                      </w:r>
                      <w:r w:rsidR="00CF2596">
                        <w:rPr>
                          <w:rFonts w:asciiTheme="minorHAnsi" w:hAnsiTheme="minorHAnsi"/>
                          <w:b/>
                          <w:bCs/>
                        </w:rPr>
                        <w:t>is</w:t>
                      </w:r>
                      <w:r w:rsidRPr="00452878">
                        <w:rPr>
                          <w:rFonts w:asciiTheme="minorHAnsi" w:hAnsiTheme="minorHAnsi"/>
                          <w:b/>
                          <w:bCs/>
                        </w:rPr>
                        <w:t xml:space="preserve"> reliant on a successful application to transfer the liquor licen</w:t>
                      </w:r>
                      <w:r w:rsidR="0050471F">
                        <w:rPr>
                          <w:rFonts w:asciiTheme="minorHAnsi" w:hAnsiTheme="minorHAnsi"/>
                          <w:b/>
                          <w:bCs/>
                        </w:rPr>
                        <w:t>c</w:t>
                      </w:r>
                      <w:r w:rsidRPr="00452878">
                        <w:rPr>
                          <w:rFonts w:asciiTheme="minorHAnsi" w:hAnsiTheme="minorHAnsi"/>
                          <w:b/>
                          <w:bCs/>
                        </w:rPr>
                        <w:t>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2F1" w:rsidRPr="00B9152A">
        <w:rPr>
          <w:b/>
          <w:noProof/>
          <w:color w:val="1F1F5F"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35059C7" wp14:editId="0C3C2A47">
                <wp:simplePos x="0" y="0"/>
                <wp:positionH relativeFrom="margin">
                  <wp:posOffset>4352290</wp:posOffset>
                </wp:positionH>
                <wp:positionV relativeFrom="paragraph">
                  <wp:posOffset>5565775</wp:posOffset>
                </wp:positionV>
                <wp:extent cx="2207260" cy="866775"/>
                <wp:effectExtent l="19050" t="19050" r="40640" b="476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26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5000" cap="flat" cmpd="thickThin" algn="ctr">
                          <a:solidFill>
                            <a:srgbClr val="1F1F5F">
                              <a:tint val="90000"/>
                              <a:satMod val="13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3F7B21" w14:textId="66CA68C2" w:rsidR="00B25012" w:rsidRPr="00113362" w:rsidRDefault="00113362" w:rsidP="00A36BBB">
                            <w:pPr>
                              <w:jc w:val="center"/>
                              <w:rPr>
                                <w:b/>
                                <w:color w:val="1F1F5F"/>
                              </w:rPr>
                            </w:pPr>
                            <w:r w:rsidRPr="00113362">
                              <w:rPr>
                                <w:b/>
                                <w:color w:val="1F1F5F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color w:val="1F1F5F"/>
                              </w:rPr>
                              <w:t xml:space="preserve">all </w:t>
                            </w:r>
                            <w:r w:rsidR="00087848">
                              <w:rPr>
                                <w:b/>
                                <w:color w:val="1F1F5F"/>
                              </w:rPr>
                              <w:t xml:space="preserve">gaming machine </w:t>
                            </w:r>
                            <w:r w:rsidR="008A5680">
                              <w:rPr>
                                <w:b/>
                                <w:color w:val="1F1F5F"/>
                              </w:rPr>
                              <w:t>monitoring</w:t>
                            </w:r>
                            <w:r>
                              <w:rPr>
                                <w:b/>
                                <w:color w:val="1F1F5F"/>
                              </w:rPr>
                              <w:t xml:space="preserve"> </w:t>
                            </w:r>
                            <w:r w:rsidR="007D35D6">
                              <w:rPr>
                                <w:b/>
                                <w:color w:val="1F1F5F"/>
                              </w:rPr>
                              <w:t>queries</w:t>
                            </w:r>
                            <w:r>
                              <w:rPr>
                                <w:b/>
                                <w:color w:val="1F1F5F"/>
                              </w:rPr>
                              <w:t>, email:</w:t>
                            </w:r>
                          </w:p>
                          <w:p w14:paraId="50AEB3C1" w14:textId="42036C6E" w:rsidR="00F35ECA" w:rsidRPr="007D35D6" w:rsidRDefault="00000000" w:rsidP="00A36BBB">
                            <w:pPr>
                              <w:jc w:val="center"/>
                              <w:rPr>
                                <w:color w:val="1F1F5F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1" w:history="1">
                              <w:r w:rsidR="008A5680" w:rsidRPr="001A074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helpdesk@max.com.au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59C7" id="Text Box 11" o:spid="_x0000_s1031" type="#_x0000_t202" style="position:absolute;margin-left:342.7pt;margin-top:438.25pt;width:173.8pt;height:68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" fillcolor="window" strokecolor="#5a5a81" strokeweight="1.52778mm">
                <v:stroke linestyle="thickThin"/>
                <v:textbox>
                  <w:txbxContent>
                    <w:p w14:paraId="133F7B21" w14:textId="66CA68C2" w:rsidR="00B25012" w:rsidRPr="00113362" w:rsidRDefault="00113362" w:rsidP="00A36BBB">
                      <w:pPr>
                        <w:jc w:val="center"/>
                        <w:rPr>
                          <w:b/>
                          <w:color w:val="1F1F5F"/>
                        </w:rPr>
                      </w:pPr>
                      <w:r w:rsidRPr="00113362">
                        <w:rPr>
                          <w:b/>
                          <w:color w:val="1F1F5F"/>
                        </w:rPr>
                        <w:t xml:space="preserve">For </w:t>
                      </w:r>
                      <w:r>
                        <w:rPr>
                          <w:b/>
                          <w:color w:val="1F1F5F"/>
                        </w:rPr>
                        <w:t xml:space="preserve">all </w:t>
                      </w:r>
                      <w:r w:rsidR="00087848">
                        <w:rPr>
                          <w:b/>
                          <w:color w:val="1F1F5F"/>
                        </w:rPr>
                        <w:t xml:space="preserve">gaming machine </w:t>
                      </w:r>
                      <w:r w:rsidR="008A5680">
                        <w:rPr>
                          <w:b/>
                          <w:color w:val="1F1F5F"/>
                        </w:rPr>
                        <w:t>monitoring</w:t>
                      </w:r>
                      <w:r>
                        <w:rPr>
                          <w:b/>
                          <w:color w:val="1F1F5F"/>
                        </w:rPr>
                        <w:t xml:space="preserve"> </w:t>
                      </w:r>
                      <w:r w:rsidR="007D35D6">
                        <w:rPr>
                          <w:b/>
                          <w:color w:val="1F1F5F"/>
                        </w:rPr>
                        <w:t>queries</w:t>
                      </w:r>
                      <w:r>
                        <w:rPr>
                          <w:b/>
                          <w:color w:val="1F1F5F"/>
                        </w:rPr>
                        <w:t>, email:</w:t>
                      </w:r>
                    </w:p>
                    <w:p w14:paraId="50AEB3C1" w14:textId="42036C6E" w:rsidR="00F35ECA" w:rsidRPr="007D35D6" w:rsidRDefault="00000000" w:rsidP="00A36BBB">
                      <w:pPr>
                        <w:jc w:val="center"/>
                        <w:rPr>
                          <w:color w:val="1F1F5F"/>
                          <w:sz w:val="20"/>
                          <w:szCs w:val="20"/>
                          <w:u w:val="single"/>
                        </w:rPr>
                      </w:pPr>
                      <w:hyperlink r:id="rId12" w:history="1">
                        <w:r w:rsidR="008A5680" w:rsidRPr="001A0744">
                          <w:rPr>
                            <w:rStyle w:val="Hyperlink"/>
                            <w:sz w:val="20"/>
                            <w:szCs w:val="20"/>
                          </w:rPr>
                          <w:t>helpdesk@max.com.au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77E8" w:rsidRPr="00FC77E8" w:rsidSect="00EF67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662" w:right="794" w:bottom="794" w:left="79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17CB" w14:textId="77777777" w:rsidR="007129C8" w:rsidRDefault="007129C8" w:rsidP="007332FF">
      <w:r>
        <w:separator/>
      </w:r>
    </w:p>
  </w:endnote>
  <w:endnote w:type="continuationSeparator" w:id="0">
    <w:p w14:paraId="53D67148" w14:textId="77777777" w:rsidR="007129C8" w:rsidRDefault="007129C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Latin Semibold">
    <w:panose1 w:val="020F0502020204030203"/>
    <w:charset w:val="00"/>
    <w:family w:val="swiss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AFF0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5F831408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17FA55DE" w14:textId="0DC8DA88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B97A797000A141C8B7D2D1B3E96A349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CF2596">
                <w:rPr>
                  <w:rStyle w:val="PageNumber"/>
                  <w:b/>
                </w:rPr>
                <w:t>TOURISM and HOSPITALITY</w:t>
              </w:r>
            </w:sdtContent>
          </w:sdt>
          <w:r w:rsidR="00592E78" w:rsidRPr="00750D2F">
            <w:rPr>
              <w:rStyle w:val="PageNumber"/>
            </w:rPr>
            <w:t xml:space="preserve"> - optional</w:t>
          </w:r>
        </w:p>
        <w:p w14:paraId="79BCEAA7" w14:textId="77777777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57CF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57CF8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2A4716A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ED09" w14:textId="77777777" w:rsidR="00D15D88" w:rsidRDefault="00D15D88" w:rsidP="00C0326E">
    <w:pPr>
      <w:spacing w:after="0"/>
    </w:pPr>
  </w:p>
  <w:p w14:paraId="760C5E3D" w14:textId="77777777" w:rsidR="00996655" w:rsidRDefault="00996655" w:rsidP="00996655">
    <w:pPr>
      <w:pStyle w:val="Hidden"/>
    </w:pPr>
  </w:p>
  <w:tbl>
    <w:tblPr>
      <w:tblW w:w="1031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14:paraId="68894CDA" w14:textId="77777777" w:rsidTr="00EB0F4B">
      <w:trPr>
        <w:cantSplit/>
        <w:trHeight w:hRule="exact" w:val="1134"/>
      </w:trPr>
      <w:tc>
        <w:tcPr>
          <w:tcW w:w="7767" w:type="dxa"/>
          <w:vAlign w:val="bottom"/>
        </w:tcPr>
        <w:p w14:paraId="5388408C" w14:textId="3C8381AC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A41F34">
                <w:rPr>
                  <w:b/>
                  <w:sz w:val="19"/>
                  <w:szCs w:val="19"/>
                </w:rPr>
                <w:t xml:space="preserve">TOURISM </w:t>
              </w:r>
              <w:r w:rsidR="00CF2596">
                <w:rPr>
                  <w:b/>
                  <w:sz w:val="19"/>
                  <w:szCs w:val="19"/>
                </w:rPr>
                <w:t>and</w:t>
              </w:r>
              <w:r w:rsidR="00A41F34">
                <w:rPr>
                  <w:b/>
                  <w:sz w:val="19"/>
                  <w:szCs w:val="19"/>
                </w:rPr>
                <w:t xml:space="preserve"> </w:t>
              </w:r>
              <w:r w:rsidR="00907F84">
                <w:rPr>
                  <w:b/>
                  <w:sz w:val="19"/>
                  <w:szCs w:val="19"/>
                </w:rPr>
                <w:t>HOSPITALITY</w:t>
              </w:r>
            </w:sdtContent>
          </w:sdt>
        </w:p>
        <w:p w14:paraId="2D211466" w14:textId="77777777" w:rsidR="00C0326E" w:rsidRPr="00CE30CF" w:rsidRDefault="00C0326E" w:rsidP="00516C35">
          <w:pPr>
            <w:spacing w:after="0"/>
            <w:rPr>
              <w:rStyle w:val="PageNumber"/>
            </w:rPr>
          </w:pPr>
        </w:p>
      </w:tc>
      <w:tc>
        <w:tcPr>
          <w:tcW w:w="2551" w:type="dxa"/>
          <w:vAlign w:val="bottom"/>
        </w:tcPr>
        <w:p w14:paraId="69186937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D8E5CFA" wp14:editId="7C1937C2">
                <wp:extent cx="1572479" cy="561600"/>
                <wp:effectExtent l="0" t="0" r="8890" b="0"/>
                <wp:docPr id="195" name="Picture 19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6563A48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6C6C" w14:textId="77777777" w:rsidR="007129C8" w:rsidRDefault="007129C8" w:rsidP="007332FF">
      <w:r>
        <w:separator/>
      </w:r>
    </w:p>
  </w:footnote>
  <w:footnote w:type="continuationSeparator" w:id="0">
    <w:p w14:paraId="03C75C1D" w14:textId="77777777" w:rsidR="007129C8" w:rsidRDefault="007129C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88DD" w14:textId="7B408354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F2596">
          <w:t>Transfer of gaming machine licence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4E2B" w14:textId="77777777" w:rsidR="00357CF8" w:rsidRDefault="00357CF8" w:rsidP="00EB164C">
    <w:pPr>
      <w:pStyle w:val="Subtitle0"/>
      <w:rPr>
        <w:sz w:val="36"/>
        <w:szCs w:val="36"/>
      </w:rPr>
    </w:pPr>
  </w:p>
  <w:p w14:paraId="21DD9FBD" w14:textId="77777777" w:rsidR="00E908F1" w:rsidRPr="00516C35" w:rsidRDefault="00D61FD1" w:rsidP="00EB164C">
    <w:pPr>
      <w:pStyle w:val="Subtitle0"/>
      <w:rPr>
        <w:sz w:val="36"/>
        <w:szCs w:val="36"/>
      </w:rPr>
    </w:pPr>
    <w:r w:rsidRPr="00516C35">
      <w:rPr>
        <w:sz w:val="36"/>
        <w:szCs w:val="36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1395ACE"/>
    <w:multiLevelType w:val="hybridMultilevel"/>
    <w:tmpl w:val="4C20CA0C"/>
    <w:lvl w:ilvl="0" w:tplc="52644E38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59578457">
    <w:abstractNumId w:val="19"/>
  </w:num>
  <w:num w:numId="2" w16cid:durableId="38361129">
    <w:abstractNumId w:val="11"/>
  </w:num>
  <w:num w:numId="3" w16cid:durableId="401567843">
    <w:abstractNumId w:val="34"/>
  </w:num>
  <w:num w:numId="4" w16cid:durableId="1961566421">
    <w:abstractNumId w:val="23"/>
  </w:num>
  <w:num w:numId="5" w16cid:durableId="2005236337">
    <w:abstractNumId w:val="15"/>
  </w:num>
  <w:num w:numId="6" w16cid:durableId="1500316108">
    <w:abstractNumId w:val="7"/>
  </w:num>
  <w:num w:numId="7" w16cid:durableId="1154835041">
    <w:abstractNumId w:val="25"/>
  </w:num>
  <w:num w:numId="8" w16cid:durableId="684479393">
    <w:abstractNumId w:val="14"/>
  </w:num>
  <w:num w:numId="9" w16cid:durableId="199016386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C8"/>
    <w:rsid w:val="00001DDF"/>
    <w:rsid w:val="0000322D"/>
    <w:rsid w:val="00007670"/>
    <w:rsid w:val="00010665"/>
    <w:rsid w:val="0002393A"/>
    <w:rsid w:val="00027DB8"/>
    <w:rsid w:val="00031A96"/>
    <w:rsid w:val="00032455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87848"/>
    <w:rsid w:val="000911EF"/>
    <w:rsid w:val="000962C5"/>
    <w:rsid w:val="00097865"/>
    <w:rsid w:val="000A4317"/>
    <w:rsid w:val="000A559C"/>
    <w:rsid w:val="000B2CA1"/>
    <w:rsid w:val="000C7C01"/>
    <w:rsid w:val="000D1F29"/>
    <w:rsid w:val="000D633D"/>
    <w:rsid w:val="000E342B"/>
    <w:rsid w:val="000E3ED2"/>
    <w:rsid w:val="000E5DD2"/>
    <w:rsid w:val="000F2958"/>
    <w:rsid w:val="000F3850"/>
    <w:rsid w:val="000F604F"/>
    <w:rsid w:val="001007B9"/>
    <w:rsid w:val="00104E7F"/>
    <w:rsid w:val="00113362"/>
    <w:rsid w:val="001137EC"/>
    <w:rsid w:val="00114404"/>
    <w:rsid w:val="00114570"/>
    <w:rsid w:val="001152F5"/>
    <w:rsid w:val="00117743"/>
    <w:rsid w:val="00117F5B"/>
    <w:rsid w:val="00127715"/>
    <w:rsid w:val="00132658"/>
    <w:rsid w:val="00150DC0"/>
    <w:rsid w:val="00156CD4"/>
    <w:rsid w:val="0016153B"/>
    <w:rsid w:val="00162207"/>
    <w:rsid w:val="00164A3E"/>
    <w:rsid w:val="00166FF6"/>
    <w:rsid w:val="00172067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6D28"/>
    <w:rsid w:val="001F59E6"/>
    <w:rsid w:val="00203F1C"/>
    <w:rsid w:val="00206936"/>
    <w:rsid w:val="00206C6F"/>
    <w:rsid w:val="00206FBD"/>
    <w:rsid w:val="00207746"/>
    <w:rsid w:val="00210F6A"/>
    <w:rsid w:val="00213777"/>
    <w:rsid w:val="00230031"/>
    <w:rsid w:val="00235C01"/>
    <w:rsid w:val="00241D0B"/>
    <w:rsid w:val="00247343"/>
    <w:rsid w:val="00265C56"/>
    <w:rsid w:val="00266726"/>
    <w:rsid w:val="002716CD"/>
    <w:rsid w:val="00274D4B"/>
    <w:rsid w:val="002806F5"/>
    <w:rsid w:val="00281577"/>
    <w:rsid w:val="002926BC"/>
    <w:rsid w:val="00293A72"/>
    <w:rsid w:val="00295B36"/>
    <w:rsid w:val="002A0160"/>
    <w:rsid w:val="002A30C3"/>
    <w:rsid w:val="002A6F6A"/>
    <w:rsid w:val="002A7712"/>
    <w:rsid w:val="002B0185"/>
    <w:rsid w:val="002B38F7"/>
    <w:rsid w:val="002B4F50"/>
    <w:rsid w:val="002B5591"/>
    <w:rsid w:val="002B6AA4"/>
    <w:rsid w:val="002C1FE9"/>
    <w:rsid w:val="002D3A57"/>
    <w:rsid w:val="002D7D05"/>
    <w:rsid w:val="002E20C8"/>
    <w:rsid w:val="002E367C"/>
    <w:rsid w:val="002E4290"/>
    <w:rsid w:val="002E66A6"/>
    <w:rsid w:val="002F01F4"/>
    <w:rsid w:val="002F0DB1"/>
    <w:rsid w:val="002F272C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8B8"/>
    <w:rsid w:val="00347FB6"/>
    <w:rsid w:val="003504FD"/>
    <w:rsid w:val="00350881"/>
    <w:rsid w:val="00357CF8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16166"/>
    <w:rsid w:val="00426E25"/>
    <w:rsid w:val="00427D9C"/>
    <w:rsid w:val="00427E7E"/>
    <w:rsid w:val="00427EA3"/>
    <w:rsid w:val="004301D5"/>
    <w:rsid w:val="0043465D"/>
    <w:rsid w:val="00442186"/>
    <w:rsid w:val="00443B6E"/>
    <w:rsid w:val="00452878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762E"/>
    <w:rsid w:val="004B0C15"/>
    <w:rsid w:val="004B35EA"/>
    <w:rsid w:val="004B69E4"/>
    <w:rsid w:val="004B7492"/>
    <w:rsid w:val="004B7D8B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E5E75"/>
    <w:rsid w:val="004F016A"/>
    <w:rsid w:val="00500260"/>
    <w:rsid w:val="00500F94"/>
    <w:rsid w:val="005022F1"/>
    <w:rsid w:val="00502FB3"/>
    <w:rsid w:val="00503DE9"/>
    <w:rsid w:val="0050471F"/>
    <w:rsid w:val="0050530C"/>
    <w:rsid w:val="00505DEA"/>
    <w:rsid w:val="00507782"/>
    <w:rsid w:val="00512A04"/>
    <w:rsid w:val="00516C35"/>
    <w:rsid w:val="00520499"/>
    <w:rsid w:val="005205EE"/>
    <w:rsid w:val="005249F5"/>
    <w:rsid w:val="005260F7"/>
    <w:rsid w:val="005303D5"/>
    <w:rsid w:val="00535395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6C03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3FC4"/>
    <w:rsid w:val="005E68FC"/>
    <w:rsid w:val="005F0B17"/>
    <w:rsid w:val="005F77C7"/>
    <w:rsid w:val="00602695"/>
    <w:rsid w:val="00620675"/>
    <w:rsid w:val="00622910"/>
    <w:rsid w:val="006254B6"/>
    <w:rsid w:val="00627FC8"/>
    <w:rsid w:val="006433C3"/>
    <w:rsid w:val="006439F6"/>
    <w:rsid w:val="00650F5B"/>
    <w:rsid w:val="006670D7"/>
    <w:rsid w:val="006719EA"/>
    <w:rsid w:val="00671F13"/>
    <w:rsid w:val="0067400A"/>
    <w:rsid w:val="006847AD"/>
    <w:rsid w:val="0069114B"/>
    <w:rsid w:val="00691EF3"/>
    <w:rsid w:val="00693F33"/>
    <w:rsid w:val="006944C1"/>
    <w:rsid w:val="006A07E5"/>
    <w:rsid w:val="006A2F2D"/>
    <w:rsid w:val="006A756A"/>
    <w:rsid w:val="006D66F7"/>
    <w:rsid w:val="006E44C7"/>
    <w:rsid w:val="006F0FE5"/>
    <w:rsid w:val="00702FFF"/>
    <w:rsid w:val="00705C9D"/>
    <w:rsid w:val="00705F13"/>
    <w:rsid w:val="007103D3"/>
    <w:rsid w:val="007129C8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3094"/>
    <w:rsid w:val="00755248"/>
    <w:rsid w:val="0076190B"/>
    <w:rsid w:val="00763448"/>
    <w:rsid w:val="0076355D"/>
    <w:rsid w:val="00763A2D"/>
    <w:rsid w:val="007670BC"/>
    <w:rsid w:val="007676A4"/>
    <w:rsid w:val="00777795"/>
    <w:rsid w:val="00780E76"/>
    <w:rsid w:val="00783A57"/>
    <w:rsid w:val="00784C92"/>
    <w:rsid w:val="007859CD"/>
    <w:rsid w:val="00785C24"/>
    <w:rsid w:val="007907E4"/>
    <w:rsid w:val="00793758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35D6"/>
    <w:rsid w:val="007D4893"/>
    <w:rsid w:val="007D7997"/>
    <w:rsid w:val="007E128D"/>
    <w:rsid w:val="007E70CF"/>
    <w:rsid w:val="007E74A4"/>
    <w:rsid w:val="007F1B6F"/>
    <w:rsid w:val="007F263F"/>
    <w:rsid w:val="008015A8"/>
    <w:rsid w:val="0080766E"/>
    <w:rsid w:val="00811169"/>
    <w:rsid w:val="0081164A"/>
    <w:rsid w:val="00815297"/>
    <w:rsid w:val="008170DB"/>
    <w:rsid w:val="00817BA1"/>
    <w:rsid w:val="00823022"/>
    <w:rsid w:val="0082634E"/>
    <w:rsid w:val="008313C4"/>
    <w:rsid w:val="008350FA"/>
    <w:rsid w:val="00835434"/>
    <w:rsid w:val="008358C0"/>
    <w:rsid w:val="00836752"/>
    <w:rsid w:val="00837842"/>
    <w:rsid w:val="00842838"/>
    <w:rsid w:val="00854EC1"/>
    <w:rsid w:val="0085797F"/>
    <w:rsid w:val="00861DC3"/>
    <w:rsid w:val="00867019"/>
    <w:rsid w:val="0086753F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65E1"/>
    <w:rsid w:val="00897C94"/>
    <w:rsid w:val="008A5680"/>
    <w:rsid w:val="008A7C12"/>
    <w:rsid w:val="008B03CE"/>
    <w:rsid w:val="008B529E"/>
    <w:rsid w:val="008C0D34"/>
    <w:rsid w:val="008C17FB"/>
    <w:rsid w:val="008C70BB"/>
    <w:rsid w:val="008D1B00"/>
    <w:rsid w:val="008D278B"/>
    <w:rsid w:val="008D57B8"/>
    <w:rsid w:val="008E03FC"/>
    <w:rsid w:val="008E3A5E"/>
    <w:rsid w:val="008E510B"/>
    <w:rsid w:val="008F30DE"/>
    <w:rsid w:val="008F422B"/>
    <w:rsid w:val="00901430"/>
    <w:rsid w:val="00902B13"/>
    <w:rsid w:val="00907F84"/>
    <w:rsid w:val="00911941"/>
    <w:rsid w:val="00911AFB"/>
    <w:rsid w:val="0092024D"/>
    <w:rsid w:val="00925146"/>
    <w:rsid w:val="00925F0F"/>
    <w:rsid w:val="00932F6B"/>
    <w:rsid w:val="009406E1"/>
    <w:rsid w:val="009468BC"/>
    <w:rsid w:val="00947FAE"/>
    <w:rsid w:val="00953762"/>
    <w:rsid w:val="009616DF"/>
    <w:rsid w:val="00963E4F"/>
    <w:rsid w:val="0096542F"/>
    <w:rsid w:val="00967FA7"/>
    <w:rsid w:val="00970FDA"/>
    <w:rsid w:val="00971645"/>
    <w:rsid w:val="00977919"/>
    <w:rsid w:val="009825A9"/>
    <w:rsid w:val="00983000"/>
    <w:rsid w:val="009870FA"/>
    <w:rsid w:val="009921C3"/>
    <w:rsid w:val="0099551D"/>
    <w:rsid w:val="00996655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32CE"/>
    <w:rsid w:val="00A17B9B"/>
    <w:rsid w:val="00A22C38"/>
    <w:rsid w:val="00A25193"/>
    <w:rsid w:val="00A26E80"/>
    <w:rsid w:val="00A31AE8"/>
    <w:rsid w:val="00A36BBB"/>
    <w:rsid w:val="00A3739D"/>
    <w:rsid w:val="00A37DDA"/>
    <w:rsid w:val="00A41F34"/>
    <w:rsid w:val="00A45005"/>
    <w:rsid w:val="00A54ACA"/>
    <w:rsid w:val="00A55A62"/>
    <w:rsid w:val="00A66857"/>
    <w:rsid w:val="00A72A2D"/>
    <w:rsid w:val="00A76790"/>
    <w:rsid w:val="00A925EC"/>
    <w:rsid w:val="00A929AA"/>
    <w:rsid w:val="00A92B6B"/>
    <w:rsid w:val="00AA541E"/>
    <w:rsid w:val="00AB5413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2046E"/>
    <w:rsid w:val="00B20E8B"/>
    <w:rsid w:val="00B25012"/>
    <w:rsid w:val="00B257E1"/>
    <w:rsid w:val="00B2599A"/>
    <w:rsid w:val="00B27AC4"/>
    <w:rsid w:val="00B343CC"/>
    <w:rsid w:val="00B40BC8"/>
    <w:rsid w:val="00B45073"/>
    <w:rsid w:val="00B5084A"/>
    <w:rsid w:val="00B51FF8"/>
    <w:rsid w:val="00B606A1"/>
    <w:rsid w:val="00B614F7"/>
    <w:rsid w:val="00B61B26"/>
    <w:rsid w:val="00B65E6B"/>
    <w:rsid w:val="00B675B2"/>
    <w:rsid w:val="00B73896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63CB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6A7C"/>
    <w:rsid w:val="00C0326E"/>
    <w:rsid w:val="00C10F10"/>
    <w:rsid w:val="00C15D4D"/>
    <w:rsid w:val="00C175DC"/>
    <w:rsid w:val="00C30171"/>
    <w:rsid w:val="00C309D8"/>
    <w:rsid w:val="00C322B4"/>
    <w:rsid w:val="00C357F6"/>
    <w:rsid w:val="00C43519"/>
    <w:rsid w:val="00C45263"/>
    <w:rsid w:val="00C51537"/>
    <w:rsid w:val="00C52BC3"/>
    <w:rsid w:val="00C55B5A"/>
    <w:rsid w:val="00C61AFA"/>
    <w:rsid w:val="00C61D64"/>
    <w:rsid w:val="00C62099"/>
    <w:rsid w:val="00C64EA3"/>
    <w:rsid w:val="00C72867"/>
    <w:rsid w:val="00C75E81"/>
    <w:rsid w:val="00C86609"/>
    <w:rsid w:val="00C92B4C"/>
    <w:rsid w:val="00C92C5E"/>
    <w:rsid w:val="00C954F6"/>
    <w:rsid w:val="00CA36A0"/>
    <w:rsid w:val="00CA6BC5"/>
    <w:rsid w:val="00CB5506"/>
    <w:rsid w:val="00CC571B"/>
    <w:rsid w:val="00CC61CD"/>
    <w:rsid w:val="00CC6C02"/>
    <w:rsid w:val="00CC737B"/>
    <w:rsid w:val="00CD5011"/>
    <w:rsid w:val="00CE640F"/>
    <w:rsid w:val="00CE76BC"/>
    <w:rsid w:val="00CF04A0"/>
    <w:rsid w:val="00CF2596"/>
    <w:rsid w:val="00CF540E"/>
    <w:rsid w:val="00D00359"/>
    <w:rsid w:val="00D02F07"/>
    <w:rsid w:val="00D04FC7"/>
    <w:rsid w:val="00D15D88"/>
    <w:rsid w:val="00D24801"/>
    <w:rsid w:val="00D27EBE"/>
    <w:rsid w:val="00D36A49"/>
    <w:rsid w:val="00D517C6"/>
    <w:rsid w:val="00D52C9E"/>
    <w:rsid w:val="00D61FD1"/>
    <w:rsid w:val="00D63415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363F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DF6786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46B5C"/>
    <w:rsid w:val="00E52375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402C"/>
    <w:rsid w:val="00E956C5"/>
    <w:rsid w:val="00E95C39"/>
    <w:rsid w:val="00EA2C39"/>
    <w:rsid w:val="00EB0A3C"/>
    <w:rsid w:val="00EB0A96"/>
    <w:rsid w:val="00EB0F4B"/>
    <w:rsid w:val="00EB164C"/>
    <w:rsid w:val="00EB1D82"/>
    <w:rsid w:val="00EB77F9"/>
    <w:rsid w:val="00EC46CB"/>
    <w:rsid w:val="00EC5769"/>
    <w:rsid w:val="00EC7D00"/>
    <w:rsid w:val="00ED0304"/>
    <w:rsid w:val="00ED5B7B"/>
    <w:rsid w:val="00EE039D"/>
    <w:rsid w:val="00EE38FA"/>
    <w:rsid w:val="00EE3E2C"/>
    <w:rsid w:val="00EE5D23"/>
    <w:rsid w:val="00EE750D"/>
    <w:rsid w:val="00EF3CA4"/>
    <w:rsid w:val="00EF6769"/>
    <w:rsid w:val="00EF7362"/>
    <w:rsid w:val="00EF7859"/>
    <w:rsid w:val="00F014DA"/>
    <w:rsid w:val="00F02591"/>
    <w:rsid w:val="00F1050E"/>
    <w:rsid w:val="00F2590F"/>
    <w:rsid w:val="00F35ECA"/>
    <w:rsid w:val="00F5696E"/>
    <w:rsid w:val="00F60EFF"/>
    <w:rsid w:val="00F635D6"/>
    <w:rsid w:val="00F67D2D"/>
    <w:rsid w:val="00F755DB"/>
    <w:rsid w:val="00F858F2"/>
    <w:rsid w:val="00F860CC"/>
    <w:rsid w:val="00F94398"/>
    <w:rsid w:val="00FB2B56"/>
    <w:rsid w:val="00FB47EE"/>
    <w:rsid w:val="00FB55D5"/>
    <w:rsid w:val="00FC12BF"/>
    <w:rsid w:val="00FC2C60"/>
    <w:rsid w:val="00FC3CF1"/>
    <w:rsid w:val="00FC77E8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8CCCC"/>
  <w15:docId w15:val="{9D6F40B6-0D90-468C-A361-3C311658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paragraph" w:customStyle="1" w:styleId="Default">
    <w:name w:val="Default"/>
    <w:rsid w:val="00691EF3"/>
    <w:pPr>
      <w:autoSpaceDE w:val="0"/>
      <w:autoSpaceDN w:val="0"/>
      <w:adjustRightInd w:val="0"/>
      <w:spacing w:after="0"/>
    </w:pPr>
    <w:rPr>
      <w:rFonts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41F34"/>
  </w:style>
  <w:style w:type="character" w:styleId="UnresolvedMention">
    <w:name w:val="Unresolved Mention"/>
    <w:basedOn w:val="DefaultParagraphFont"/>
    <w:uiPriority w:val="99"/>
    <w:semiHidden/>
    <w:unhideWhenUsed/>
    <w:rsid w:val="008A56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2695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elpdesk@max.com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desk@max.com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amingMachineAct.DITT@nt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amingMachineAct.DITT@nt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7A797000A141C8B7D2D1B3E96A3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DBD1-7DA2-418C-9518-73B6224A5830}"/>
      </w:docPartPr>
      <w:docPartBody>
        <w:p w:rsidR="006459E6" w:rsidRDefault="005B4721">
          <w:pPr>
            <w:pStyle w:val="B97A797000A141C8B7D2D1B3E96A3494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Latin Semibold">
    <w:panose1 w:val="020F0502020204030203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21"/>
    <w:rsid w:val="001648CF"/>
    <w:rsid w:val="001D2D66"/>
    <w:rsid w:val="00260EAE"/>
    <w:rsid w:val="002B38BD"/>
    <w:rsid w:val="00373214"/>
    <w:rsid w:val="00414721"/>
    <w:rsid w:val="004517DA"/>
    <w:rsid w:val="005B4721"/>
    <w:rsid w:val="0064396B"/>
    <w:rsid w:val="006459E6"/>
    <w:rsid w:val="00692721"/>
    <w:rsid w:val="00815E2D"/>
    <w:rsid w:val="0088439D"/>
    <w:rsid w:val="009D0F27"/>
    <w:rsid w:val="009E53FF"/>
    <w:rsid w:val="00B5520E"/>
    <w:rsid w:val="00B914DA"/>
    <w:rsid w:val="00BA249C"/>
    <w:rsid w:val="00CC6090"/>
    <w:rsid w:val="00CD3789"/>
    <w:rsid w:val="00E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7A797000A141C8B7D2D1B3E96A3494">
    <w:name w:val="B97A797000A141C8B7D2D1B3E96A3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BA7BE8-8CF6-4B63-A195-D49BB537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gaming machine licence</vt:lpstr>
    </vt:vector>
  </TitlesOfParts>
  <Company>TOURISM and HOSPITALITY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gaming machine licence</dc:title>
  <dc:creator>Northern Territory Government</dc:creator>
  <cp:lastModifiedBy>Valaree Chuah</cp:lastModifiedBy>
  <cp:revision>3</cp:revision>
  <cp:lastPrinted>2024-04-12T06:03:00Z</cp:lastPrinted>
  <dcterms:created xsi:type="dcterms:W3CDTF">2024-10-30T01:02:00Z</dcterms:created>
  <dcterms:modified xsi:type="dcterms:W3CDTF">2024-10-30T01:02:00Z</dcterms:modified>
</cp:coreProperties>
</file>