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9D8A" w14:textId="0C920F36" w:rsidR="00A1027E" w:rsidRDefault="004E4C42" w:rsidP="00E20EE4">
      <w:pPr>
        <w:pStyle w:val="Subtitle0"/>
      </w:pPr>
      <w:r w:rsidRPr="00B77EFB">
        <w:t xml:space="preserve">Chemical </w:t>
      </w:r>
      <w:r w:rsidR="00E20EE4">
        <w:t>c</w:t>
      </w:r>
      <w:r w:rsidRPr="00B77EFB">
        <w:t xml:space="preserve">ontrol – </w:t>
      </w:r>
      <w:proofErr w:type="spellStart"/>
      <w:r w:rsidR="00E20EE4">
        <w:t>b</w:t>
      </w:r>
      <w:r w:rsidRPr="00B77EFB">
        <w:t>uffel</w:t>
      </w:r>
      <w:proofErr w:type="spellEnd"/>
      <w:r w:rsidRPr="00B77EFB">
        <w:t xml:space="preserve"> </w:t>
      </w:r>
      <w:r w:rsidR="00E20EE4">
        <w:t>g</w:t>
      </w:r>
      <w:r w:rsidRPr="00B77EFB">
        <w:t>rass Central Australia</w:t>
      </w:r>
    </w:p>
    <w:p w14:paraId="0985A7C1" w14:textId="77777777" w:rsidR="00B77EFB" w:rsidRPr="00B77EFB" w:rsidRDefault="00B77EFB" w:rsidP="000011C5">
      <w:pPr>
        <w:pStyle w:val="Heading2"/>
      </w:pPr>
      <w:r>
        <w:t>Background</w:t>
      </w:r>
    </w:p>
    <w:p w14:paraId="67814AD0" w14:textId="6BE8326F" w:rsidR="004E4C42" w:rsidRPr="00E20EE4" w:rsidRDefault="004E4C42" w:rsidP="003C2449">
      <w:pPr>
        <w:rPr>
          <w:rFonts w:asciiTheme="minorHAnsi" w:hAnsiTheme="minorHAnsi" w:cs="Arial"/>
          <w:i/>
        </w:rPr>
      </w:pPr>
      <w:r w:rsidRPr="00E20EE4">
        <w:rPr>
          <w:rFonts w:asciiTheme="minorHAnsi" w:hAnsiTheme="minorHAnsi" w:cs="Arial"/>
        </w:rPr>
        <w:t xml:space="preserve">Buffel grass is an introduced grass species that is resistant to drought and used primarily as a pasture species throughout Australia. As a grass species that thrives in sandy soils, </w:t>
      </w:r>
      <w:proofErr w:type="spellStart"/>
      <w:r w:rsidR="001C7C06">
        <w:rPr>
          <w:rFonts w:asciiTheme="minorHAnsi" w:hAnsiTheme="minorHAnsi" w:cs="Arial"/>
        </w:rPr>
        <w:t>b</w:t>
      </w:r>
      <w:r w:rsidRPr="00E20EE4">
        <w:rPr>
          <w:rFonts w:asciiTheme="minorHAnsi" w:hAnsiTheme="minorHAnsi" w:cs="Arial"/>
        </w:rPr>
        <w:t>uffel</w:t>
      </w:r>
      <w:proofErr w:type="spellEnd"/>
      <w:r w:rsidRPr="00E20EE4">
        <w:rPr>
          <w:rFonts w:asciiTheme="minorHAnsi" w:hAnsiTheme="minorHAnsi" w:cs="Arial"/>
        </w:rPr>
        <w:t xml:space="preserve"> </w:t>
      </w:r>
      <w:r w:rsidR="001C7C06">
        <w:rPr>
          <w:rFonts w:asciiTheme="minorHAnsi" w:hAnsiTheme="minorHAnsi" w:cs="Arial"/>
        </w:rPr>
        <w:t>g</w:t>
      </w:r>
      <w:r w:rsidRPr="00E20EE4">
        <w:rPr>
          <w:rFonts w:asciiTheme="minorHAnsi" w:hAnsiTheme="minorHAnsi" w:cs="Arial"/>
        </w:rPr>
        <w:t>rass has become naturalised in areas around Central Australia and is</w:t>
      </w:r>
      <w:r w:rsidR="003C2449">
        <w:rPr>
          <w:rFonts w:asciiTheme="minorHAnsi" w:hAnsiTheme="minorHAnsi" w:cs="Arial"/>
        </w:rPr>
        <w:t xml:space="preserve"> </w:t>
      </w:r>
      <w:r w:rsidRPr="00E20EE4">
        <w:rPr>
          <w:rFonts w:asciiTheme="minorHAnsi" w:hAnsiTheme="minorHAnsi" w:cs="Arial"/>
        </w:rPr>
        <w:t xml:space="preserve">becoming an increasing concern for </w:t>
      </w:r>
      <w:r w:rsidR="002A5ADE" w:rsidRPr="00E20EE4">
        <w:rPr>
          <w:rFonts w:asciiTheme="minorHAnsi" w:hAnsiTheme="minorHAnsi" w:cs="Arial"/>
        </w:rPr>
        <w:t xml:space="preserve">personnel involved in </w:t>
      </w:r>
      <w:r w:rsidRPr="00E20EE4">
        <w:rPr>
          <w:rFonts w:asciiTheme="minorHAnsi" w:hAnsiTheme="minorHAnsi" w:cs="Arial"/>
        </w:rPr>
        <w:t>fire management and protecting biodiversity.</w:t>
      </w:r>
    </w:p>
    <w:p w14:paraId="661FF423" w14:textId="7D8F84C8" w:rsidR="004E4C42" w:rsidRPr="00E20EE4" w:rsidRDefault="004E4C42" w:rsidP="00E20EE4">
      <w:pPr>
        <w:jc w:val="both"/>
        <w:rPr>
          <w:rFonts w:asciiTheme="minorHAnsi" w:hAnsiTheme="minorHAnsi" w:cs="Arial"/>
          <w:i/>
        </w:rPr>
      </w:pPr>
      <w:r w:rsidRPr="00E20EE4">
        <w:rPr>
          <w:rFonts w:asciiTheme="minorHAnsi" w:hAnsiTheme="minorHAnsi" w:cs="Arial"/>
        </w:rPr>
        <w:t xml:space="preserve">Chemical </w:t>
      </w:r>
      <w:r w:rsidR="001C7C06">
        <w:rPr>
          <w:rFonts w:asciiTheme="minorHAnsi" w:hAnsiTheme="minorHAnsi" w:cs="Arial"/>
        </w:rPr>
        <w:t>c</w:t>
      </w:r>
      <w:r w:rsidRPr="00E20EE4">
        <w:rPr>
          <w:rFonts w:asciiTheme="minorHAnsi" w:hAnsiTheme="minorHAnsi" w:cs="Arial"/>
        </w:rPr>
        <w:t xml:space="preserve">ontrol is a viable control method to assist in managing </w:t>
      </w:r>
      <w:proofErr w:type="spellStart"/>
      <w:r w:rsidR="001C7C06">
        <w:rPr>
          <w:rFonts w:asciiTheme="minorHAnsi" w:hAnsiTheme="minorHAnsi" w:cs="Arial"/>
        </w:rPr>
        <w:t>b</w:t>
      </w:r>
      <w:r w:rsidRPr="00E20EE4">
        <w:rPr>
          <w:rFonts w:asciiTheme="minorHAnsi" w:hAnsiTheme="minorHAnsi" w:cs="Arial"/>
        </w:rPr>
        <w:t>uffel</w:t>
      </w:r>
      <w:proofErr w:type="spellEnd"/>
      <w:r w:rsidRPr="00E20EE4">
        <w:rPr>
          <w:rFonts w:asciiTheme="minorHAnsi" w:hAnsiTheme="minorHAnsi" w:cs="Arial"/>
        </w:rPr>
        <w:t xml:space="preserve"> </w:t>
      </w:r>
      <w:r w:rsidR="001C7C06">
        <w:rPr>
          <w:rFonts w:asciiTheme="minorHAnsi" w:hAnsiTheme="minorHAnsi" w:cs="Arial"/>
        </w:rPr>
        <w:t>g</w:t>
      </w:r>
      <w:r w:rsidRPr="00E20EE4">
        <w:rPr>
          <w:rFonts w:asciiTheme="minorHAnsi" w:hAnsiTheme="minorHAnsi" w:cs="Arial"/>
        </w:rPr>
        <w:t>rass</w:t>
      </w:r>
      <w:r w:rsidR="00B77EFB" w:rsidRPr="00E20EE4">
        <w:rPr>
          <w:rFonts w:asciiTheme="minorHAnsi" w:hAnsiTheme="minorHAnsi" w:cs="Arial"/>
        </w:rPr>
        <w:t>,</w:t>
      </w:r>
      <w:r w:rsidRPr="00E20EE4">
        <w:rPr>
          <w:rFonts w:asciiTheme="minorHAnsi" w:hAnsiTheme="minorHAnsi" w:cs="Arial"/>
        </w:rPr>
        <w:t xml:space="preserve"> however users must be aware of the </w:t>
      </w:r>
      <w:r w:rsidR="002A5ADE" w:rsidRPr="00E20EE4">
        <w:rPr>
          <w:rFonts w:asciiTheme="minorHAnsi" w:hAnsiTheme="minorHAnsi" w:cs="Arial"/>
        </w:rPr>
        <w:t xml:space="preserve">legislative </w:t>
      </w:r>
      <w:r w:rsidRPr="00E20EE4">
        <w:rPr>
          <w:rFonts w:asciiTheme="minorHAnsi" w:hAnsiTheme="minorHAnsi" w:cs="Arial"/>
        </w:rPr>
        <w:t>requirements of using chemicals in accordance with</w:t>
      </w:r>
      <w:r w:rsidR="002A5ADE" w:rsidRPr="00E20EE4">
        <w:rPr>
          <w:rFonts w:asciiTheme="minorHAnsi" w:hAnsiTheme="minorHAnsi" w:cs="Arial"/>
        </w:rPr>
        <w:t xml:space="preserve"> the </w:t>
      </w:r>
      <w:hyperlink r:id="rId9" w:history="1">
        <w:r w:rsidR="002A5ADE" w:rsidRPr="00E20EE4">
          <w:rPr>
            <w:rStyle w:val="Hyperlink"/>
            <w:rFonts w:asciiTheme="minorHAnsi" w:hAnsiTheme="minorHAnsi" w:cs="Arial"/>
            <w:b/>
            <w:i/>
          </w:rPr>
          <w:t>Agricultural and Veterinary Chemicals (Control of Use) Act 2004</w:t>
        </w:r>
      </w:hyperlink>
      <w:r w:rsidR="006D587F" w:rsidRPr="00E20EE4">
        <w:rPr>
          <w:rFonts w:asciiTheme="minorHAnsi" w:hAnsiTheme="minorHAnsi" w:cs="Arial"/>
          <w:b/>
          <w:i/>
        </w:rPr>
        <w:t xml:space="preserve"> (</w:t>
      </w:r>
      <w:r w:rsidR="006D587F" w:rsidRPr="00E20EE4">
        <w:rPr>
          <w:rFonts w:asciiTheme="minorHAnsi" w:hAnsiTheme="minorHAnsi" w:cs="Arial"/>
          <w:b/>
        </w:rPr>
        <w:t>the Act)</w:t>
      </w:r>
      <w:r w:rsidRPr="00E20EE4">
        <w:rPr>
          <w:rFonts w:asciiTheme="minorHAnsi" w:hAnsiTheme="minorHAnsi" w:cs="Arial"/>
        </w:rPr>
        <w:t>.</w:t>
      </w:r>
    </w:p>
    <w:p w14:paraId="72E5D61A" w14:textId="1F362E2D" w:rsidR="00B77EFB" w:rsidRDefault="00B46C78" w:rsidP="00B77EFB">
      <w:pPr>
        <w:pStyle w:val="Heading2"/>
      </w:pPr>
      <w:r w:rsidRPr="00B77EFB">
        <w:t xml:space="preserve">Specified </w:t>
      </w:r>
      <w:proofErr w:type="gramStart"/>
      <w:r w:rsidR="00E20EE4">
        <w:t>r</w:t>
      </w:r>
      <w:r w:rsidRPr="00B77EFB">
        <w:t>equirements</w:t>
      </w:r>
      <w:proofErr w:type="gramEnd"/>
      <w:r w:rsidR="002A5ADE" w:rsidRPr="00B77EFB">
        <w:t xml:space="preserve"> </w:t>
      </w:r>
    </w:p>
    <w:p w14:paraId="76539928" w14:textId="7834E293" w:rsidR="00B46C78" w:rsidRPr="00B77EFB" w:rsidRDefault="002A5ADE" w:rsidP="000011C5">
      <w:pPr>
        <w:pStyle w:val="Heading3"/>
      </w:pPr>
      <w:r w:rsidRPr="00B77EFB">
        <w:t>Non</w:t>
      </w:r>
      <w:r w:rsidR="00E20EE4">
        <w:t>-c</w:t>
      </w:r>
      <w:r w:rsidRPr="00B77EFB">
        <w:t xml:space="preserve">ommercial </w:t>
      </w:r>
      <w:r w:rsidR="00E20EE4">
        <w:t>u</w:t>
      </w:r>
      <w:r w:rsidRPr="00B77EFB">
        <w:t>sers</w:t>
      </w:r>
    </w:p>
    <w:p w14:paraId="636F4168" w14:textId="77777777" w:rsidR="003C2449" w:rsidRDefault="001E0CBE" w:rsidP="00E20EE4">
      <w:pPr>
        <w:jc w:val="both"/>
        <w:rPr>
          <w:rFonts w:asciiTheme="minorHAnsi" w:hAnsiTheme="minorHAnsi" w:cs="Arial"/>
        </w:rPr>
      </w:pPr>
      <w:r w:rsidRPr="000011C5">
        <w:rPr>
          <w:rFonts w:asciiTheme="minorHAnsi" w:hAnsiTheme="minorHAnsi" w:cs="Arial"/>
        </w:rPr>
        <w:t xml:space="preserve">For </w:t>
      </w:r>
      <w:r w:rsidR="004E4C42" w:rsidRPr="000011C5">
        <w:rPr>
          <w:rFonts w:asciiTheme="minorHAnsi" w:hAnsiTheme="minorHAnsi" w:cs="Arial"/>
        </w:rPr>
        <w:t>non-commercial</w:t>
      </w:r>
      <w:r w:rsidR="002A5ADE" w:rsidRPr="000011C5">
        <w:rPr>
          <w:rFonts w:asciiTheme="minorHAnsi" w:hAnsiTheme="minorHAnsi" w:cs="Arial"/>
        </w:rPr>
        <w:t xml:space="preserve"> and residential </w:t>
      </w:r>
      <w:r w:rsidR="004E4C42" w:rsidRPr="000011C5">
        <w:rPr>
          <w:rFonts w:asciiTheme="minorHAnsi" w:hAnsiTheme="minorHAnsi" w:cs="Arial"/>
        </w:rPr>
        <w:t>users</w:t>
      </w:r>
      <w:r w:rsidR="002A5ADE" w:rsidRPr="000011C5">
        <w:rPr>
          <w:rFonts w:asciiTheme="minorHAnsi" w:hAnsiTheme="minorHAnsi" w:cs="Arial"/>
        </w:rPr>
        <w:t xml:space="preserve">, </w:t>
      </w:r>
      <w:r w:rsidR="004E4C42" w:rsidRPr="000011C5">
        <w:rPr>
          <w:rFonts w:asciiTheme="minorHAnsi" w:hAnsiTheme="minorHAnsi" w:cs="Arial"/>
        </w:rPr>
        <w:t>over</w:t>
      </w:r>
      <w:r w:rsidR="003C2449">
        <w:rPr>
          <w:rFonts w:asciiTheme="minorHAnsi" w:hAnsiTheme="minorHAnsi" w:cs="Arial"/>
        </w:rPr>
        <w:t>-</w:t>
      </w:r>
      <w:r w:rsidR="004E4C42" w:rsidRPr="000011C5">
        <w:rPr>
          <w:rFonts w:asciiTheme="minorHAnsi" w:hAnsiTheme="minorHAnsi" w:cs="Arial"/>
        </w:rPr>
        <w:t>the</w:t>
      </w:r>
      <w:r w:rsidR="003C2449">
        <w:rPr>
          <w:rFonts w:asciiTheme="minorHAnsi" w:hAnsiTheme="minorHAnsi" w:cs="Arial"/>
        </w:rPr>
        <w:t>-</w:t>
      </w:r>
      <w:r w:rsidR="004E4C42" w:rsidRPr="000011C5">
        <w:rPr>
          <w:rFonts w:asciiTheme="minorHAnsi" w:hAnsiTheme="minorHAnsi" w:cs="Arial"/>
        </w:rPr>
        <w:t>counter chemicals containing glyphosate</w:t>
      </w:r>
      <w:r w:rsidR="002A5ADE" w:rsidRPr="000011C5">
        <w:rPr>
          <w:rFonts w:asciiTheme="minorHAnsi" w:hAnsiTheme="minorHAnsi" w:cs="Arial"/>
        </w:rPr>
        <w:t xml:space="preserve"> can be used. </w:t>
      </w:r>
    </w:p>
    <w:p w14:paraId="00277B29" w14:textId="6E238341" w:rsidR="002A5ADE" w:rsidRDefault="002A5ADE" w:rsidP="00E20EE4">
      <w:pPr>
        <w:jc w:val="both"/>
        <w:rPr>
          <w:rFonts w:asciiTheme="minorHAnsi" w:hAnsiTheme="minorHAnsi" w:cs="Arial"/>
        </w:rPr>
      </w:pPr>
      <w:r w:rsidRPr="000011C5">
        <w:rPr>
          <w:rFonts w:asciiTheme="minorHAnsi" w:hAnsiTheme="minorHAnsi" w:cs="Arial"/>
        </w:rPr>
        <w:t>In these circumstances users must:</w:t>
      </w:r>
    </w:p>
    <w:p w14:paraId="05AC8F77" w14:textId="41377E5A" w:rsidR="002A5ADE" w:rsidRPr="00E20EE4" w:rsidRDefault="002A5ADE" w:rsidP="00E20EE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i/>
        </w:rPr>
      </w:pPr>
      <w:r w:rsidRPr="00E20EE4">
        <w:rPr>
          <w:rFonts w:asciiTheme="minorHAnsi" w:hAnsiTheme="minorHAnsi" w:cs="Segoe UI"/>
        </w:rPr>
        <w:t xml:space="preserve">ensure glyphosate is kept in approved containers with attached </w:t>
      </w:r>
      <w:proofErr w:type="gramStart"/>
      <w:r w:rsidRPr="00E20EE4">
        <w:rPr>
          <w:rFonts w:asciiTheme="minorHAnsi" w:hAnsiTheme="minorHAnsi" w:cs="Segoe UI"/>
        </w:rPr>
        <w:t>labels</w:t>
      </w:r>
      <w:proofErr w:type="gramEnd"/>
    </w:p>
    <w:p w14:paraId="48088B38" w14:textId="6EA1A212" w:rsidR="002A5ADE" w:rsidRPr="00E20EE4" w:rsidRDefault="002A5ADE" w:rsidP="00E20EE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i/>
        </w:rPr>
      </w:pPr>
      <w:r w:rsidRPr="00E20EE4">
        <w:rPr>
          <w:rFonts w:asciiTheme="minorHAnsi" w:hAnsiTheme="minorHAnsi" w:cs="Segoe UI"/>
        </w:rPr>
        <w:t xml:space="preserve">adhere to all label </w:t>
      </w:r>
      <w:proofErr w:type="gramStart"/>
      <w:r w:rsidRPr="00E20EE4">
        <w:rPr>
          <w:rFonts w:asciiTheme="minorHAnsi" w:hAnsiTheme="minorHAnsi" w:cs="Segoe UI"/>
        </w:rPr>
        <w:t>instructions</w:t>
      </w:r>
      <w:proofErr w:type="gramEnd"/>
    </w:p>
    <w:p w14:paraId="0AD1B408" w14:textId="63C1DF81" w:rsidR="002A5ADE" w:rsidRPr="00E20EE4" w:rsidRDefault="00B77EFB" w:rsidP="00E20EE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i/>
        </w:rPr>
      </w:pPr>
      <w:r w:rsidRPr="00E20EE4">
        <w:rPr>
          <w:rFonts w:asciiTheme="minorHAnsi" w:hAnsiTheme="minorHAnsi" w:cs="Segoe UI"/>
        </w:rPr>
        <w:t>dispose</w:t>
      </w:r>
      <w:r w:rsidR="002A5ADE" w:rsidRPr="00E20EE4">
        <w:rPr>
          <w:rFonts w:asciiTheme="minorHAnsi" w:hAnsiTheme="minorHAnsi" w:cs="Segoe UI"/>
        </w:rPr>
        <w:t xml:space="preserve"> of containers as per label instructions</w:t>
      </w:r>
    </w:p>
    <w:p w14:paraId="29F44B95" w14:textId="3C54C51A" w:rsidR="002A5ADE" w:rsidRPr="00E20EE4" w:rsidRDefault="00B77EFB" w:rsidP="00E20EE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i/>
        </w:rPr>
      </w:pPr>
      <w:r w:rsidRPr="00E20EE4">
        <w:rPr>
          <w:rFonts w:asciiTheme="minorHAnsi" w:hAnsiTheme="minorHAnsi" w:cs="Segoe UI"/>
        </w:rPr>
        <w:t>maintain r</w:t>
      </w:r>
      <w:r w:rsidR="002A5ADE" w:rsidRPr="00E20EE4">
        <w:rPr>
          <w:rFonts w:asciiTheme="minorHAnsi" w:hAnsiTheme="minorHAnsi" w:cs="Segoe UI"/>
        </w:rPr>
        <w:t>ecords of glyphosate use when specified by a label or permi</w:t>
      </w:r>
      <w:r w:rsidRPr="00E20EE4">
        <w:rPr>
          <w:rFonts w:asciiTheme="minorHAnsi" w:hAnsiTheme="minorHAnsi" w:cs="Segoe UI"/>
        </w:rPr>
        <w:t>t</w:t>
      </w:r>
      <w:r w:rsidR="002A5ADE" w:rsidRPr="00E20EE4">
        <w:rPr>
          <w:rFonts w:asciiTheme="minorHAnsi" w:hAnsiTheme="minorHAnsi" w:cs="Segoe UI"/>
        </w:rPr>
        <w:t xml:space="preserve"> for </w:t>
      </w:r>
      <w:r w:rsidRPr="00E20EE4">
        <w:rPr>
          <w:rFonts w:asciiTheme="minorHAnsi" w:hAnsiTheme="minorHAnsi" w:cs="Segoe UI"/>
        </w:rPr>
        <w:t>a minimum of 2</w:t>
      </w:r>
      <w:r w:rsidR="002A5ADE" w:rsidRPr="00E20EE4">
        <w:rPr>
          <w:rFonts w:asciiTheme="minorHAnsi" w:hAnsiTheme="minorHAnsi" w:cs="Segoe UI"/>
        </w:rPr>
        <w:t xml:space="preserve"> </w:t>
      </w:r>
      <w:proofErr w:type="gramStart"/>
      <w:r w:rsidR="002A5ADE" w:rsidRPr="00E20EE4">
        <w:rPr>
          <w:rFonts w:asciiTheme="minorHAnsi" w:hAnsiTheme="minorHAnsi" w:cs="Segoe UI"/>
        </w:rPr>
        <w:t>years</w:t>
      </w:r>
      <w:proofErr w:type="gramEnd"/>
    </w:p>
    <w:p w14:paraId="1C046135" w14:textId="77777777" w:rsidR="002A5ADE" w:rsidRPr="00E20EE4" w:rsidRDefault="00FA3522" w:rsidP="00E20EE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i/>
        </w:rPr>
      </w:pPr>
      <w:r w:rsidRPr="00E20EE4">
        <w:rPr>
          <w:rFonts w:asciiTheme="minorHAnsi" w:hAnsiTheme="minorHAnsi" w:cs="Segoe UI"/>
        </w:rPr>
        <w:t xml:space="preserve">not </w:t>
      </w:r>
      <w:r w:rsidR="002A5ADE" w:rsidRPr="00E20EE4">
        <w:rPr>
          <w:rFonts w:asciiTheme="minorHAnsi" w:hAnsiTheme="minorHAnsi" w:cs="Segoe UI"/>
        </w:rPr>
        <w:t>spray</w:t>
      </w:r>
      <w:r w:rsidR="00B77EFB" w:rsidRPr="00E20EE4">
        <w:rPr>
          <w:rFonts w:asciiTheme="minorHAnsi" w:hAnsiTheme="minorHAnsi" w:cs="Segoe UI"/>
        </w:rPr>
        <w:t xml:space="preserve"> any glyphosate products</w:t>
      </w:r>
      <w:r w:rsidRPr="00E20EE4">
        <w:rPr>
          <w:rFonts w:asciiTheme="minorHAnsi" w:hAnsiTheme="minorHAnsi" w:cs="Segoe UI"/>
        </w:rPr>
        <w:t xml:space="preserve"> in public places without authorisation.</w:t>
      </w:r>
    </w:p>
    <w:p w14:paraId="6F11EC11" w14:textId="35CDF778" w:rsidR="00FA3522" w:rsidRPr="00FA3522" w:rsidRDefault="00FA3522" w:rsidP="000011C5">
      <w:pPr>
        <w:pStyle w:val="Heading3"/>
        <w:rPr>
          <w:i/>
        </w:rPr>
      </w:pPr>
      <w:r w:rsidRPr="002A5ADE">
        <w:t xml:space="preserve">Commercial </w:t>
      </w:r>
      <w:r w:rsidR="00E20EE4">
        <w:t>u</w:t>
      </w:r>
      <w:r w:rsidRPr="002A5ADE">
        <w:t>sers</w:t>
      </w:r>
    </w:p>
    <w:p w14:paraId="1D9A42C3" w14:textId="77777777" w:rsidR="00FA3522" w:rsidRPr="000011C5" w:rsidRDefault="00FA3522" w:rsidP="00E20EE4">
      <w:pPr>
        <w:jc w:val="both"/>
        <w:rPr>
          <w:rFonts w:asciiTheme="minorHAnsi" w:hAnsiTheme="minorHAnsi" w:cs="Arial"/>
        </w:rPr>
      </w:pPr>
      <w:r w:rsidRPr="000011C5">
        <w:rPr>
          <w:rFonts w:asciiTheme="minorHAnsi" w:hAnsiTheme="minorHAnsi" w:cs="Arial"/>
        </w:rPr>
        <w:t xml:space="preserve">For commercial sprayers and primary production users </w:t>
      </w:r>
      <w:proofErr w:type="gramStart"/>
      <w:r w:rsidRPr="000011C5">
        <w:rPr>
          <w:rFonts w:asciiTheme="minorHAnsi" w:hAnsiTheme="minorHAnsi" w:cs="Arial"/>
        </w:rPr>
        <w:t>a number of</w:t>
      </w:r>
      <w:proofErr w:type="gramEnd"/>
      <w:r w:rsidRPr="000011C5">
        <w:rPr>
          <w:rFonts w:asciiTheme="minorHAnsi" w:hAnsiTheme="minorHAnsi" w:cs="Arial"/>
        </w:rPr>
        <w:t xml:space="preserve"> chemical products are available </w:t>
      </w:r>
      <w:r w:rsidR="00B77EFB">
        <w:rPr>
          <w:rFonts w:asciiTheme="minorHAnsi" w:hAnsiTheme="minorHAnsi" w:cs="Arial"/>
        </w:rPr>
        <w:t xml:space="preserve">for </w:t>
      </w:r>
      <w:r w:rsidRPr="000011C5">
        <w:rPr>
          <w:rFonts w:asciiTheme="minorHAnsi" w:hAnsiTheme="minorHAnsi" w:cs="Arial"/>
        </w:rPr>
        <w:t xml:space="preserve">use.  This includes </w:t>
      </w:r>
      <w:r w:rsidRPr="000011C5">
        <w:rPr>
          <w:rFonts w:asciiTheme="minorHAnsi" w:hAnsiTheme="minorHAnsi" w:cs="Arial"/>
          <w:i/>
        </w:rPr>
        <w:t>schedule 6</w:t>
      </w:r>
      <w:r w:rsidRPr="000011C5">
        <w:rPr>
          <w:rFonts w:asciiTheme="minorHAnsi" w:hAnsiTheme="minorHAnsi" w:cs="Arial"/>
        </w:rPr>
        <w:t xml:space="preserve"> poisons such as </w:t>
      </w:r>
      <w:proofErr w:type="spellStart"/>
      <w:r w:rsidRPr="000011C5">
        <w:rPr>
          <w:rFonts w:asciiTheme="minorHAnsi" w:hAnsiTheme="minorHAnsi" w:cs="Arial"/>
        </w:rPr>
        <w:t>flupropanate</w:t>
      </w:r>
      <w:proofErr w:type="spellEnd"/>
      <w:r w:rsidRPr="000011C5">
        <w:rPr>
          <w:rFonts w:asciiTheme="minorHAnsi" w:hAnsiTheme="minorHAnsi" w:cs="Arial"/>
        </w:rPr>
        <w:t xml:space="preserve">, </w:t>
      </w:r>
      <w:proofErr w:type="spellStart"/>
      <w:r w:rsidRPr="000011C5">
        <w:rPr>
          <w:rFonts w:asciiTheme="minorHAnsi" w:hAnsiTheme="minorHAnsi" w:cs="Arial"/>
        </w:rPr>
        <w:t>haloxyfop</w:t>
      </w:r>
      <w:proofErr w:type="spellEnd"/>
      <w:r w:rsidRPr="000011C5">
        <w:rPr>
          <w:rFonts w:asciiTheme="minorHAnsi" w:hAnsiTheme="minorHAnsi" w:cs="Arial"/>
        </w:rPr>
        <w:t xml:space="preserve"> and glyphosate </w:t>
      </w:r>
      <w:r w:rsidR="00B77EFB">
        <w:rPr>
          <w:rFonts w:asciiTheme="minorHAnsi" w:hAnsiTheme="minorHAnsi" w:cs="Arial"/>
        </w:rPr>
        <w:t>and</w:t>
      </w:r>
      <w:r w:rsidRPr="000011C5">
        <w:rPr>
          <w:rFonts w:asciiTheme="minorHAnsi" w:hAnsiTheme="minorHAnsi" w:cs="Arial"/>
        </w:rPr>
        <w:t xml:space="preserve"> </w:t>
      </w:r>
      <w:r w:rsidRPr="000011C5">
        <w:rPr>
          <w:rFonts w:asciiTheme="minorHAnsi" w:hAnsiTheme="minorHAnsi" w:cs="Arial"/>
          <w:i/>
        </w:rPr>
        <w:t>schedule 7</w:t>
      </w:r>
      <w:r w:rsidRPr="000011C5">
        <w:rPr>
          <w:rFonts w:asciiTheme="minorHAnsi" w:hAnsiTheme="minorHAnsi" w:cs="Arial"/>
        </w:rPr>
        <w:t xml:space="preserve"> dangerous poisons such as methomyl, diquat and paraquat.  </w:t>
      </w:r>
    </w:p>
    <w:p w14:paraId="41FFEC9C" w14:textId="30E42B10" w:rsidR="00761D73" w:rsidRPr="000011C5" w:rsidRDefault="00FA3522" w:rsidP="00E20EE4">
      <w:pPr>
        <w:jc w:val="both"/>
        <w:rPr>
          <w:rFonts w:asciiTheme="minorHAnsi" w:hAnsiTheme="minorHAnsi" w:cs="Arial"/>
        </w:rPr>
      </w:pPr>
      <w:r w:rsidRPr="000011C5">
        <w:rPr>
          <w:rFonts w:asciiTheme="minorHAnsi" w:hAnsiTheme="minorHAnsi" w:cs="Arial"/>
        </w:rPr>
        <w:t xml:space="preserve">All </w:t>
      </w:r>
      <w:r w:rsidRPr="000011C5">
        <w:rPr>
          <w:rFonts w:asciiTheme="minorHAnsi" w:hAnsiTheme="minorHAnsi" w:cs="Arial"/>
          <w:i/>
        </w:rPr>
        <w:t>schedule 7</w:t>
      </w:r>
      <w:r w:rsidRPr="000011C5">
        <w:rPr>
          <w:rFonts w:asciiTheme="minorHAnsi" w:hAnsiTheme="minorHAnsi" w:cs="Arial"/>
        </w:rPr>
        <w:t xml:space="preserve"> dangerous poisons users must have an authorisation issued by Chemical Services prior to possession and use.</w:t>
      </w:r>
      <w:r w:rsidR="00E20EE4">
        <w:rPr>
          <w:rFonts w:asciiTheme="minorHAnsi" w:hAnsiTheme="minorHAnsi" w:cs="Arial"/>
        </w:rPr>
        <w:t xml:space="preserve"> </w:t>
      </w:r>
      <w:r w:rsidR="00761D73" w:rsidRPr="000011C5">
        <w:rPr>
          <w:rFonts w:asciiTheme="minorHAnsi" w:hAnsiTheme="minorHAnsi" w:cs="Arial"/>
        </w:rPr>
        <w:t>Prior to issuing an authorisation users must have completed relevant training and maintain adequate storage facilities.</w:t>
      </w:r>
    </w:p>
    <w:p w14:paraId="1224F83D" w14:textId="0D14E4B9" w:rsidR="00FA3522" w:rsidRDefault="00FA3522" w:rsidP="00E20EE4">
      <w:pPr>
        <w:jc w:val="both"/>
        <w:rPr>
          <w:rFonts w:asciiTheme="minorHAnsi" w:hAnsiTheme="minorHAnsi" w:cs="Arial"/>
        </w:rPr>
      </w:pPr>
      <w:r w:rsidRPr="00E20EE4">
        <w:rPr>
          <w:rFonts w:asciiTheme="minorHAnsi" w:hAnsiTheme="minorHAnsi" w:cs="Arial"/>
        </w:rPr>
        <w:t xml:space="preserve">Chemical </w:t>
      </w:r>
      <w:r w:rsidR="00E20EE4">
        <w:rPr>
          <w:rFonts w:asciiTheme="minorHAnsi" w:hAnsiTheme="minorHAnsi" w:cs="Arial"/>
        </w:rPr>
        <w:t>s</w:t>
      </w:r>
      <w:r w:rsidRPr="00E20EE4">
        <w:rPr>
          <w:rFonts w:asciiTheme="minorHAnsi" w:hAnsiTheme="minorHAnsi" w:cs="Arial"/>
        </w:rPr>
        <w:t>torage facilities must meet minimum safety requirements including:</w:t>
      </w:r>
    </w:p>
    <w:p w14:paraId="2F53EE4A" w14:textId="59099FDB" w:rsidR="00FA3522" w:rsidRDefault="000571A7" w:rsidP="00E20EE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</w:rPr>
      </w:pPr>
      <w:r w:rsidRPr="00E20EE4">
        <w:rPr>
          <w:rFonts w:asciiTheme="minorHAnsi" w:hAnsiTheme="minorHAnsi" w:cs="Arial"/>
        </w:rPr>
        <w:t>s</w:t>
      </w:r>
      <w:r w:rsidR="00FA3522" w:rsidRPr="00E20EE4">
        <w:rPr>
          <w:rFonts w:asciiTheme="minorHAnsi" w:hAnsiTheme="minorHAnsi" w:cs="Arial"/>
        </w:rPr>
        <w:t>ecure facility with access controls</w:t>
      </w:r>
    </w:p>
    <w:p w14:paraId="41E95437" w14:textId="01D42443" w:rsidR="00FA3522" w:rsidRDefault="000571A7" w:rsidP="00E20EE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</w:rPr>
      </w:pPr>
      <w:r w:rsidRPr="00E20EE4">
        <w:rPr>
          <w:rFonts w:asciiTheme="minorHAnsi" w:hAnsiTheme="minorHAnsi" w:cs="Arial"/>
        </w:rPr>
        <w:t>n</w:t>
      </w:r>
      <w:r w:rsidR="00FA3522" w:rsidRPr="00E20EE4">
        <w:rPr>
          <w:rFonts w:asciiTheme="minorHAnsi" w:hAnsiTheme="minorHAnsi" w:cs="Arial"/>
        </w:rPr>
        <w:t>earby wash facility or equipment</w:t>
      </w:r>
    </w:p>
    <w:p w14:paraId="2F5098D3" w14:textId="607DED05" w:rsidR="00FA3522" w:rsidRDefault="000571A7" w:rsidP="00E20EE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</w:rPr>
      </w:pPr>
      <w:r w:rsidRPr="00E20EE4">
        <w:rPr>
          <w:rFonts w:asciiTheme="minorHAnsi" w:hAnsiTheme="minorHAnsi" w:cs="Arial"/>
        </w:rPr>
        <w:t>a</w:t>
      </w:r>
      <w:r w:rsidR="00FA3522" w:rsidRPr="00E20EE4">
        <w:rPr>
          <w:rFonts w:asciiTheme="minorHAnsi" w:hAnsiTheme="minorHAnsi" w:cs="Arial"/>
        </w:rPr>
        <w:t xml:space="preserve">ccess log and safety data sheets for all chemicals stored </w:t>
      </w:r>
      <w:proofErr w:type="gramStart"/>
      <w:r w:rsidR="00FA3522" w:rsidRPr="00E20EE4">
        <w:rPr>
          <w:rFonts w:asciiTheme="minorHAnsi" w:hAnsiTheme="minorHAnsi" w:cs="Arial"/>
        </w:rPr>
        <w:t>inside</w:t>
      </w:r>
      <w:proofErr w:type="gramEnd"/>
    </w:p>
    <w:p w14:paraId="42039E22" w14:textId="125B31BD" w:rsidR="00FA3522" w:rsidRDefault="000571A7" w:rsidP="00E20EE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</w:rPr>
      </w:pPr>
      <w:r w:rsidRPr="00E20EE4">
        <w:rPr>
          <w:rFonts w:asciiTheme="minorHAnsi" w:hAnsiTheme="minorHAnsi" w:cs="Arial"/>
        </w:rPr>
        <w:t>s</w:t>
      </w:r>
      <w:r w:rsidR="00FA3522" w:rsidRPr="00E20EE4">
        <w:rPr>
          <w:rFonts w:asciiTheme="minorHAnsi" w:hAnsiTheme="minorHAnsi" w:cs="Arial"/>
        </w:rPr>
        <w:t>eparate areas for wet and dry chemicals</w:t>
      </w:r>
    </w:p>
    <w:p w14:paraId="1FD66322" w14:textId="77777777" w:rsidR="00FA3522" w:rsidRPr="00E20EE4" w:rsidRDefault="000571A7" w:rsidP="00E20EE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</w:rPr>
      </w:pPr>
      <w:r w:rsidRPr="00E20EE4">
        <w:rPr>
          <w:rFonts w:asciiTheme="minorHAnsi" w:hAnsiTheme="minorHAnsi" w:cs="Arial"/>
        </w:rPr>
        <w:t>c</w:t>
      </w:r>
      <w:r w:rsidR="00FA3522" w:rsidRPr="00E20EE4">
        <w:rPr>
          <w:rFonts w:asciiTheme="minorHAnsi" w:hAnsiTheme="minorHAnsi" w:cs="Arial"/>
        </w:rPr>
        <w:t>lear</w:t>
      </w:r>
      <w:r w:rsidRPr="00E20EE4">
        <w:rPr>
          <w:rFonts w:asciiTheme="minorHAnsi" w:hAnsiTheme="minorHAnsi" w:cs="Arial"/>
        </w:rPr>
        <w:t xml:space="preserve"> and appropriate</w:t>
      </w:r>
      <w:r w:rsidR="00FA3522" w:rsidRPr="00E20EE4">
        <w:rPr>
          <w:rFonts w:asciiTheme="minorHAnsi" w:hAnsiTheme="minorHAnsi" w:cs="Arial"/>
        </w:rPr>
        <w:t xml:space="preserve"> signage.</w:t>
      </w:r>
    </w:p>
    <w:p w14:paraId="7EA5CE96" w14:textId="55E315E5" w:rsidR="00FA3522" w:rsidRPr="000011C5" w:rsidRDefault="00FA3522" w:rsidP="00E20EE4">
      <w:pPr>
        <w:jc w:val="both"/>
        <w:rPr>
          <w:rFonts w:asciiTheme="minorHAnsi" w:hAnsiTheme="minorHAnsi" w:cs="Arial"/>
        </w:rPr>
      </w:pPr>
      <w:r w:rsidRPr="000011C5">
        <w:rPr>
          <w:rFonts w:asciiTheme="minorHAnsi" w:hAnsiTheme="minorHAnsi" w:cs="Arial"/>
        </w:rPr>
        <w:lastRenderedPageBreak/>
        <w:t>For commercial sprayers</w:t>
      </w:r>
      <w:r w:rsidR="006D587F" w:rsidRPr="000011C5">
        <w:rPr>
          <w:rFonts w:asciiTheme="minorHAnsi" w:hAnsiTheme="minorHAnsi" w:cs="Arial"/>
        </w:rPr>
        <w:t>,</w:t>
      </w:r>
      <w:r w:rsidRPr="000011C5">
        <w:rPr>
          <w:rFonts w:asciiTheme="minorHAnsi" w:hAnsiTheme="minorHAnsi" w:cs="Arial"/>
        </w:rPr>
        <w:t xml:space="preserve"> there are mandatory licen</w:t>
      </w:r>
      <w:r w:rsidR="00FB60CB">
        <w:rPr>
          <w:rFonts w:asciiTheme="minorHAnsi" w:hAnsiTheme="minorHAnsi" w:cs="Arial"/>
        </w:rPr>
        <w:t>s</w:t>
      </w:r>
      <w:r w:rsidRPr="000011C5">
        <w:rPr>
          <w:rFonts w:asciiTheme="minorHAnsi" w:hAnsiTheme="minorHAnsi" w:cs="Arial"/>
        </w:rPr>
        <w:t xml:space="preserve">ing requirements for both the business and individual applicators prior to </w:t>
      </w:r>
      <w:r w:rsidR="006D587F" w:rsidRPr="000011C5">
        <w:rPr>
          <w:rFonts w:asciiTheme="minorHAnsi" w:hAnsiTheme="minorHAnsi" w:cs="Arial"/>
        </w:rPr>
        <w:t>the commencement of</w:t>
      </w:r>
      <w:r w:rsidRPr="000011C5">
        <w:rPr>
          <w:rFonts w:asciiTheme="minorHAnsi" w:hAnsiTheme="minorHAnsi" w:cs="Arial"/>
        </w:rPr>
        <w:t xml:space="preserve"> commercial spraying </w:t>
      </w:r>
      <w:r w:rsidR="004C2A37" w:rsidRPr="000011C5">
        <w:rPr>
          <w:rFonts w:asciiTheme="minorHAnsi" w:hAnsiTheme="minorHAnsi" w:cs="Arial"/>
        </w:rPr>
        <w:t>activities</w:t>
      </w:r>
      <w:r w:rsidRPr="000011C5">
        <w:rPr>
          <w:rFonts w:asciiTheme="minorHAnsi" w:hAnsiTheme="minorHAnsi" w:cs="Arial"/>
        </w:rPr>
        <w:t>.</w:t>
      </w:r>
    </w:p>
    <w:p w14:paraId="39F35C62" w14:textId="3E2D2918" w:rsidR="004E4C42" w:rsidRPr="00987E3A" w:rsidRDefault="004E4C42" w:rsidP="00E20EE4">
      <w:pPr>
        <w:jc w:val="both"/>
        <w:rPr>
          <w:rFonts w:asciiTheme="minorHAnsi" w:hAnsiTheme="minorHAnsi" w:cs="Arial"/>
          <w:i/>
        </w:rPr>
      </w:pPr>
      <w:r w:rsidRPr="00987E3A">
        <w:rPr>
          <w:rFonts w:asciiTheme="minorHAnsi" w:hAnsiTheme="minorHAnsi" w:cs="Arial"/>
        </w:rPr>
        <w:t xml:space="preserve">Section 95 of the </w:t>
      </w:r>
      <w:r w:rsidR="006D587F" w:rsidRPr="00987E3A">
        <w:rPr>
          <w:rFonts w:asciiTheme="minorHAnsi" w:hAnsiTheme="minorHAnsi" w:cs="Arial"/>
        </w:rPr>
        <w:t>Act</w:t>
      </w:r>
      <w:r w:rsidRPr="00987E3A">
        <w:rPr>
          <w:rFonts w:asciiTheme="minorHAnsi" w:hAnsiTheme="minorHAnsi" w:cs="Arial"/>
          <w:color w:val="000000"/>
          <w:shd w:val="clear" w:color="auto" w:fill="FFFFFF"/>
        </w:rPr>
        <w:t xml:space="preserve"> allows the Chemical Coordinator or a chemical advisor to attend and inspect premises to</w:t>
      </w:r>
      <w:r w:rsidR="006D587F" w:rsidRPr="00987E3A">
        <w:rPr>
          <w:rFonts w:asciiTheme="minorHAnsi" w:hAnsiTheme="minorHAnsi" w:cs="Arial"/>
          <w:color w:val="000000"/>
          <w:shd w:val="clear" w:color="auto" w:fill="FFFFFF"/>
        </w:rPr>
        <w:t xml:space="preserve"> investigate any potential offences.</w:t>
      </w:r>
      <w:r w:rsidR="00987E3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987E3A">
        <w:rPr>
          <w:rFonts w:asciiTheme="minorHAnsi" w:hAnsiTheme="minorHAnsi" w:cs="Arial"/>
          <w:color w:val="000000"/>
          <w:shd w:val="clear" w:color="auto" w:fill="FFFFFF"/>
        </w:rPr>
        <w:t xml:space="preserve">This includes the inspection of machines and equipment used with agricultural and veterinary chemicals, </w:t>
      </w:r>
      <w:proofErr w:type="gramStart"/>
      <w:r w:rsidRPr="00987E3A">
        <w:rPr>
          <w:rFonts w:asciiTheme="minorHAnsi" w:hAnsiTheme="minorHAnsi" w:cs="Arial"/>
          <w:color w:val="000000"/>
          <w:shd w:val="clear" w:color="auto" w:fill="FFFFFF"/>
        </w:rPr>
        <w:t>fertilisers</w:t>
      </w:r>
      <w:proofErr w:type="gramEnd"/>
      <w:r w:rsidRPr="00987E3A">
        <w:rPr>
          <w:rFonts w:asciiTheme="minorHAnsi" w:hAnsiTheme="minorHAnsi" w:cs="Arial"/>
          <w:color w:val="000000"/>
          <w:shd w:val="clear" w:color="auto" w:fill="FFFFFF"/>
        </w:rPr>
        <w:t xml:space="preserve"> and stock food. </w:t>
      </w:r>
    </w:p>
    <w:p w14:paraId="482BFA3C" w14:textId="77777777" w:rsidR="004E4C42" w:rsidRPr="000011C5" w:rsidRDefault="004E4C42" w:rsidP="00E20EE4">
      <w:pPr>
        <w:jc w:val="both"/>
        <w:rPr>
          <w:rFonts w:asciiTheme="minorHAnsi" w:hAnsiTheme="minorHAnsi" w:cs="Arial"/>
          <w:i/>
        </w:rPr>
      </w:pPr>
      <w:r w:rsidRPr="000011C5">
        <w:rPr>
          <w:rFonts w:asciiTheme="minorHAnsi" w:hAnsiTheme="minorHAnsi" w:cs="Arial"/>
          <w:color w:val="000000"/>
          <w:shd w:val="clear" w:color="auto" w:fill="FFFFFF"/>
        </w:rPr>
        <w:t xml:space="preserve">Pursuant to </w:t>
      </w:r>
      <w:r w:rsidRPr="00B62732">
        <w:rPr>
          <w:rFonts w:asciiTheme="minorHAnsi" w:hAnsiTheme="minorHAnsi" w:cs="Arial"/>
          <w:color w:val="000000"/>
          <w:shd w:val="clear" w:color="auto" w:fill="FFFFFF"/>
        </w:rPr>
        <w:t>Section 95(j)</w:t>
      </w:r>
      <w:r w:rsidRPr="000011C5">
        <w:rPr>
          <w:rFonts w:asciiTheme="minorHAnsi" w:hAnsiTheme="minorHAnsi" w:cs="Arial"/>
          <w:color w:val="000000"/>
          <w:shd w:val="clear" w:color="auto" w:fill="FFFFFF"/>
        </w:rPr>
        <w:t xml:space="preserve"> of the Act, where machinery and equipment does not meet specified requirements or poses a risk of harm to the health of the user, the public or the environment due to its condition, damage or serviceability; the chemical coordinator or chemical advisor can direct the person in charge to cease operating the equipment or machine until repairs are completed or the machine or equipment meets a specified requirement. </w:t>
      </w:r>
    </w:p>
    <w:p w14:paraId="5A2BB972" w14:textId="4B0A90C5" w:rsidR="00761D73" w:rsidRPr="00B62732" w:rsidRDefault="00CD764F" w:rsidP="00E20EE4">
      <w:pPr>
        <w:jc w:val="both"/>
        <w:rPr>
          <w:rFonts w:ascii="Arial" w:hAnsi="Arial" w:cs="Arial"/>
          <w:color w:val="002060"/>
        </w:rPr>
      </w:pPr>
      <w:r w:rsidRPr="000011C5">
        <w:rPr>
          <w:rFonts w:asciiTheme="minorHAnsi" w:hAnsiTheme="minorHAnsi" w:cs="Arial"/>
        </w:rPr>
        <w:t xml:space="preserve">The </w:t>
      </w:r>
      <w:r w:rsidR="00761D73" w:rsidRPr="000011C5">
        <w:rPr>
          <w:rFonts w:asciiTheme="minorHAnsi" w:hAnsiTheme="minorHAnsi" w:cs="Arial"/>
        </w:rPr>
        <w:t xml:space="preserve">user </w:t>
      </w:r>
      <w:r w:rsidRPr="000011C5">
        <w:rPr>
          <w:rFonts w:asciiTheme="minorHAnsi" w:hAnsiTheme="minorHAnsi" w:cs="Arial"/>
        </w:rPr>
        <w:t>is responsible for ensuring that</w:t>
      </w:r>
      <w:r w:rsidR="00761D73" w:rsidRPr="000011C5">
        <w:rPr>
          <w:rFonts w:asciiTheme="minorHAnsi" w:hAnsiTheme="minorHAnsi" w:cs="Arial"/>
        </w:rPr>
        <w:t xml:space="preserve"> equipment</w:t>
      </w:r>
      <w:r w:rsidRPr="000011C5">
        <w:rPr>
          <w:rFonts w:asciiTheme="minorHAnsi" w:hAnsiTheme="minorHAnsi" w:cs="Arial"/>
        </w:rPr>
        <w:t xml:space="preserve"> </w:t>
      </w:r>
      <w:r w:rsidR="00761D73" w:rsidRPr="000011C5">
        <w:rPr>
          <w:rFonts w:asciiTheme="minorHAnsi" w:hAnsiTheme="minorHAnsi" w:cs="Arial"/>
        </w:rPr>
        <w:t>is service</w:t>
      </w:r>
      <w:r w:rsidR="003C2449">
        <w:rPr>
          <w:rFonts w:asciiTheme="minorHAnsi" w:hAnsiTheme="minorHAnsi" w:cs="Arial"/>
        </w:rPr>
        <w:t xml:space="preserve">able </w:t>
      </w:r>
      <w:r w:rsidRPr="000011C5">
        <w:rPr>
          <w:rFonts w:asciiTheme="minorHAnsi" w:hAnsiTheme="minorHAnsi" w:cs="Arial"/>
        </w:rPr>
        <w:t xml:space="preserve">and </w:t>
      </w:r>
      <w:r w:rsidR="00B62732" w:rsidRPr="000011C5">
        <w:rPr>
          <w:rFonts w:asciiTheme="minorHAnsi" w:hAnsiTheme="minorHAnsi" w:cs="Arial"/>
        </w:rPr>
        <w:t>in good working</w:t>
      </w:r>
      <w:r w:rsidR="00E20EE4">
        <w:rPr>
          <w:rFonts w:asciiTheme="minorHAnsi" w:hAnsiTheme="minorHAnsi" w:cs="Arial"/>
        </w:rPr>
        <w:t xml:space="preserve"> </w:t>
      </w:r>
      <w:r w:rsidRPr="000011C5">
        <w:rPr>
          <w:rFonts w:asciiTheme="minorHAnsi" w:hAnsiTheme="minorHAnsi" w:cs="Arial"/>
        </w:rPr>
        <w:t xml:space="preserve">order to prevent the </w:t>
      </w:r>
      <w:proofErr w:type="gramStart"/>
      <w:r w:rsidR="00761D73" w:rsidRPr="000011C5">
        <w:rPr>
          <w:rFonts w:asciiTheme="minorHAnsi" w:hAnsiTheme="minorHAnsi" w:cs="Arial"/>
        </w:rPr>
        <w:t>off target</w:t>
      </w:r>
      <w:proofErr w:type="gramEnd"/>
      <w:r w:rsidR="00761D73" w:rsidRPr="000011C5">
        <w:rPr>
          <w:rFonts w:asciiTheme="minorHAnsi" w:hAnsiTheme="minorHAnsi" w:cs="Arial"/>
        </w:rPr>
        <w:t xml:space="preserve"> spray damage and spray drift.</w:t>
      </w:r>
    </w:p>
    <w:p w14:paraId="5A762899" w14:textId="77777777" w:rsidR="00761D73" w:rsidRPr="00761D73" w:rsidRDefault="00114653" w:rsidP="004C2A37">
      <w:pPr>
        <w:pStyle w:val="Heading2"/>
        <w:rPr>
          <w:rFonts w:ascii="Arial" w:eastAsia="Calibri" w:hAnsi="Arial" w:cs="Arial"/>
        </w:rPr>
      </w:pPr>
      <w:r w:rsidRPr="00761D73">
        <w:rPr>
          <w:rFonts w:eastAsiaTheme="minorEastAsia"/>
        </w:rPr>
        <w:t>Offence</w:t>
      </w:r>
      <w:r w:rsidR="00FF2CDD" w:rsidRPr="00761D73">
        <w:rPr>
          <w:rFonts w:eastAsiaTheme="minorEastAsia"/>
        </w:rPr>
        <w:t>s</w:t>
      </w:r>
    </w:p>
    <w:p w14:paraId="02005BCA" w14:textId="77777777" w:rsidR="00761D73" w:rsidRPr="00E20EE4" w:rsidRDefault="00114653" w:rsidP="00E20EE4">
      <w:r w:rsidRPr="00E20EE4">
        <w:t>The</w:t>
      </w:r>
      <w:r w:rsidR="00C827B8" w:rsidRPr="00E20EE4">
        <w:t xml:space="preserve"> inappropriate use of chemicals and fertilisers </w:t>
      </w:r>
      <w:r w:rsidRPr="00E20EE4">
        <w:t>constitute</w:t>
      </w:r>
      <w:r w:rsidR="000D0E75" w:rsidRPr="00E20EE4">
        <w:t>s</w:t>
      </w:r>
      <w:r w:rsidRPr="00E20EE4">
        <w:t xml:space="preserve"> an offence under Section 13 of the </w:t>
      </w:r>
      <w:r w:rsidR="00B62732" w:rsidRPr="00E20EE4">
        <w:t>Act.</w:t>
      </w:r>
    </w:p>
    <w:p w14:paraId="62CDFE91" w14:textId="77777777" w:rsidR="00761D73" w:rsidRDefault="00987E3A" w:rsidP="00761D73">
      <w:pPr>
        <w:pStyle w:val="ListParagraph"/>
        <w:ind w:left="720"/>
        <w:jc w:val="both"/>
        <w:rPr>
          <w:rFonts w:ascii="Arial" w:eastAsia="Calibri" w:hAnsi="Arial" w:cs="Arial"/>
        </w:rPr>
      </w:pPr>
      <w:r w:rsidRPr="000D0E75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FD0913B" wp14:editId="3F605954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4382135" cy="2734310"/>
            <wp:effectExtent l="0" t="0" r="0" b="8890"/>
            <wp:wrapThrough wrapText="bothSides">
              <wp:wrapPolygon edited="0">
                <wp:start x="0" y="0"/>
                <wp:lineTo x="0" y="21520"/>
                <wp:lineTo x="21503" y="21520"/>
                <wp:lineTo x="215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3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BE4A3" w14:textId="77777777" w:rsidR="00761D73" w:rsidRDefault="00761D73" w:rsidP="00761D7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446EF12B" w14:textId="77777777" w:rsidR="00987E3A" w:rsidRDefault="00987E3A" w:rsidP="00761D7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6F26E20C" w14:textId="77777777" w:rsidR="00987E3A" w:rsidRDefault="00987E3A" w:rsidP="00761D7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41BAE7FC" w14:textId="77777777" w:rsidR="00987E3A" w:rsidRDefault="00987E3A" w:rsidP="00761D7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3A6291AD" w14:textId="77777777" w:rsidR="00987E3A" w:rsidRDefault="00987E3A" w:rsidP="00761D7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727B7F99" w14:textId="77777777" w:rsidR="00987E3A" w:rsidRDefault="00987E3A" w:rsidP="00761D7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06DB040D" w14:textId="77777777" w:rsidR="00987E3A" w:rsidRDefault="00987E3A" w:rsidP="00761D7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1B3716C1" w14:textId="77777777" w:rsidR="00987E3A" w:rsidRDefault="00987E3A" w:rsidP="00761D7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2B70AE26" w14:textId="77777777" w:rsidR="00987E3A" w:rsidRDefault="00987E3A" w:rsidP="00761D7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1CD5BEF3" w14:textId="77777777" w:rsidR="00987E3A" w:rsidRDefault="00987E3A" w:rsidP="00761D7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4F0B2D45" w14:textId="77777777" w:rsidR="00987E3A" w:rsidRDefault="00987E3A" w:rsidP="00761D7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7AD4845C" w14:textId="77777777" w:rsidR="00987E3A" w:rsidRDefault="00987E3A" w:rsidP="00761D7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45E6A486" w14:textId="77777777" w:rsidR="00B62732" w:rsidRDefault="00B62732" w:rsidP="000011C5">
      <w:pPr>
        <w:pStyle w:val="Heading3"/>
      </w:pPr>
      <w:r>
        <w:t>Specific laws are in place for Central Australia</w:t>
      </w:r>
    </w:p>
    <w:p w14:paraId="3C42801F" w14:textId="77777777" w:rsidR="00761D73" w:rsidRPr="000011C5" w:rsidRDefault="00987E3A" w:rsidP="00E20EE4">
      <w:pPr>
        <w:jc w:val="both"/>
        <w:rPr>
          <w:rFonts w:ascii="Arial" w:hAnsi="Arial" w:cs="Arial"/>
        </w:rPr>
      </w:pPr>
      <w:r w:rsidRPr="00E20EE4">
        <w:rPr>
          <w:noProof/>
        </w:rPr>
        <w:drawing>
          <wp:anchor distT="0" distB="0" distL="114300" distR="114300" simplePos="0" relativeHeight="251660288" behindDoc="0" locked="0" layoutInCell="1" allowOverlap="1" wp14:anchorId="6E4FBDA2" wp14:editId="042AF30E">
            <wp:simplePos x="0" y="0"/>
            <wp:positionH relativeFrom="column">
              <wp:posOffset>1076960</wp:posOffset>
            </wp:positionH>
            <wp:positionV relativeFrom="paragraph">
              <wp:posOffset>582930</wp:posOffset>
            </wp:positionV>
            <wp:extent cx="4730016" cy="1090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016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D73" w:rsidRPr="00E20EE4">
        <w:t xml:space="preserve">Unlawful spraying in </w:t>
      </w:r>
      <w:r w:rsidR="009E7183" w:rsidRPr="00E20EE4">
        <w:t xml:space="preserve">Alice Springs Town Council </w:t>
      </w:r>
      <w:r w:rsidR="00761D73" w:rsidRPr="00E20EE4">
        <w:t xml:space="preserve">public places that interferes </w:t>
      </w:r>
      <w:proofErr w:type="gramStart"/>
      <w:r w:rsidR="00761D73" w:rsidRPr="00E20EE4">
        <w:t>with</w:t>
      </w:r>
      <w:proofErr w:type="gramEnd"/>
      <w:r w:rsidR="00761D73" w:rsidRPr="00E20EE4">
        <w:t xml:space="preserve"> or damages vegetation</w:t>
      </w:r>
      <w:r w:rsidR="00761D73" w:rsidRPr="000011C5">
        <w:rPr>
          <w:rFonts w:ascii="Arial" w:hAnsi="Arial" w:cs="Arial"/>
        </w:rPr>
        <w:t xml:space="preserve"> </w:t>
      </w:r>
      <w:r w:rsidR="009E7183" w:rsidRPr="00E20EE4">
        <w:t>constitutes</w:t>
      </w:r>
      <w:r w:rsidR="000C0474" w:rsidRPr="00E20EE4">
        <w:t xml:space="preserve"> an offence </w:t>
      </w:r>
      <w:r w:rsidR="009E7183" w:rsidRPr="00E20EE4">
        <w:t>under the</w:t>
      </w:r>
      <w:r w:rsidR="000C0474" w:rsidRPr="00E20EE4">
        <w:t xml:space="preserve"> Alice Springs (Management</w:t>
      </w:r>
      <w:r w:rsidR="000C0474" w:rsidRPr="000011C5">
        <w:rPr>
          <w:rFonts w:ascii="Arial" w:hAnsi="Arial" w:cs="Arial"/>
        </w:rPr>
        <w:t xml:space="preserve"> </w:t>
      </w:r>
      <w:r w:rsidR="000C0474" w:rsidRPr="00E20EE4">
        <w:t>of Public Places) By-Laws 2009:</w:t>
      </w:r>
    </w:p>
    <w:p w14:paraId="5E39FE20" w14:textId="77777777" w:rsidR="009E7183" w:rsidRDefault="009E7183" w:rsidP="009E718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71D6FBCC" w14:textId="77777777" w:rsidR="000C0474" w:rsidRDefault="000C0474" w:rsidP="009E7183">
      <w:pPr>
        <w:pStyle w:val="ListParagraph"/>
        <w:ind w:left="720"/>
        <w:jc w:val="center"/>
        <w:rPr>
          <w:rFonts w:ascii="Arial" w:eastAsia="Calibri" w:hAnsi="Arial" w:cs="Arial"/>
        </w:rPr>
      </w:pPr>
    </w:p>
    <w:p w14:paraId="5F86A9B5" w14:textId="77777777" w:rsidR="009E7183" w:rsidRPr="009E7183" w:rsidRDefault="009E7183" w:rsidP="009E7183">
      <w:pPr>
        <w:pStyle w:val="ListParagraph"/>
        <w:rPr>
          <w:rFonts w:ascii="Arial" w:eastAsia="Calibri" w:hAnsi="Arial" w:cs="Arial"/>
        </w:rPr>
      </w:pPr>
    </w:p>
    <w:p w14:paraId="4C297479" w14:textId="77777777" w:rsidR="009E7183" w:rsidRDefault="009E7183">
      <w:pPr>
        <w:rPr>
          <w:rFonts w:ascii="Arial" w:hAnsi="Arial" w:cs="Arial"/>
          <w:iCs/>
        </w:rPr>
      </w:pPr>
      <w:r>
        <w:rPr>
          <w:rFonts w:ascii="Arial" w:hAnsi="Arial" w:cs="Arial"/>
        </w:rPr>
        <w:br w:type="page"/>
      </w:r>
    </w:p>
    <w:p w14:paraId="6D661920" w14:textId="77777777" w:rsidR="009E7183" w:rsidRPr="00E20EE4" w:rsidRDefault="009E7183" w:rsidP="00E20EE4">
      <w:r w:rsidRPr="00E20EE4">
        <w:lastRenderedPageBreak/>
        <w:t xml:space="preserve">Similarly unlawful spraying in Tennant Creek Town Council public places that interferes </w:t>
      </w:r>
      <w:proofErr w:type="gramStart"/>
      <w:r w:rsidRPr="00E20EE4">
        <w:t>with</w:t>
      </w:r>
      <w:proofErr w:type="gramEnd"/>
      <w:r w:rsidRPr="00E20EE4">
        <w:t xml:space="preserve"> or damages vegetation constitutes an offence under the Tennant Creek (Control of Public Places) By-Laws 1989:</w:t>
      </w:r>
    </w:p>
    <w:p w14:paraId="00DED24C" w14:textId="77777777" w:rsidR="009E7183" w:rsidRDefault="009E7183" w:rsidP="009E7183">
      <w:pPr>
        <w:pStyle w:val="ListParagraph"/>
        <w:ind w:left="720"/>
        <w:jc w:val="both"/>
        <w:rPr>
          <w:rFonts w:ascii="Arial" w:eastAsia="Calibri" w:hAnsi="Arial" w:cs="Arial"/>
        </w:rPr>
      </w:pPr>
    </w:p>
    <w:p w14:paraId="7F364FD9" w14:textId="77777777" w:rsidR="009E7183" w:rsidRDefault="009E7183" w:rsidP="009E7183">
      <w:pPr>
        <w:pStyle w:val="ListParagraph"/>
        <w:ind w:left="720"/>
        <w:jc w:val="center"/>
        <w:rPr>
          <w:rFonts w:ascii="Arial" w:eastAsia="Calibri" w:hAnsi="Arial" w:cs="Arial"/>
        </w:rPr>
      </w:pPr>
      <w:r w:rsidRPr="009E7183">
        <w:rPr>
          <w:rFonts w:ascii="Arial" w:eastAsia="Calibri" w:hAnsi="Arial" w:cs="Arial"/>
          <w:noProof/>
          <w:lang w:eastAsia="en-AU"/>
        </w:rPr>
        <w:drawing>
          <wp:inline distT="0" distB="0" distL="0" distR="0" wp14:anchorId="7EBB15A8" wp14:editId="6A3AC95C">
            <wp:extent cx="4591050" cy="9731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2179" cy="98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23869" w14:textId="77777777" w:rsidR="009E7183" w:rsidRPr="00761D73" w:rsidRDefault="009E7183" w:rsidP="009E7183">
      <w:pPr>
        <w:pStyle w:val="ListParagraph"/>
        <w:ind w:left="720"/>
        <w:rPr>
          <w:rFonts w:ascii="Arial" w:eastAsia="Calibri" w:hAnsi="Arial" w:cs="Arial"/>
        </w:rPr>
      </w:pPr>
    </w:p>
    <w:p w14:paraId="275AEDD6" w14:textId="77777777" w:rsidR="00BE10B2" w:rsidRPr="00987E3A" w:rsidRDefault="00BE10B2" w:rsidP="00E20EE4">
      <w:pPr>
        <w:pStyle w:val="Heading1"/>
        <w:jc w:val="both"/>
        <w:rPr>
          <w:rFonts w:ascii="Arial" w:eastAsia="Calibri" w:hAnsi="Arial" w:cs="Arial"/>
          <w:color w:val="auto"/>
          <w:kern w:val="0"/>
          <w:sz w:val="22"/>
          <w:szCs w:val="22"/>
        </w:rPr>
      </w:pPr>
      <w:r w:rsidRPr="00E20EE4">
        <w:rPr>
          <w:rFonts w:asciiTheme="minorHAnsi" w:hAnsiTheme="minorHAnsi" w:cs="Arial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C4BCE06" wp14:editId="332BA2D5">
            <wp:simplePos x="0" y="0"/>
            <wp:positionH relativeFrom="margin">
              <wp:align>center</wp:align>
            </wp:positionH>
            <wp:positionV relativeFrom="paragraph">
              <wp:posOffset>559711</wp:posOffset>
            </wp:positionV>
            <wp:extent cx="4528820" cy="3683635"/>
            <wp:effectExtent l="0" t="0" r="508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2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14653" w:rsidRPr="00E20EE4">
        <w:rPr>
          <w:rFonts w:asciiTheme="minorHAnsi" w:eastAsia="Calibri" w:hAnsiTheme="minorHAnsi" w:cs="Arial"/>
          <w:color w:val="auto"/>
          <w:kern w:val="0"/>
          <w:sz w:val="22"/>
          <w:szCs w:val="22"/>
        </w:rPr>
        <w:t>Furthermore</w:t>
      </w:r>
      <w:proofErr w:type="gramEnd"/>
      <w:r w:rsidR="00114653" w:rsidRPr="00E20EE4">
        <w:rPr>
          <w:rFonts w:asciiTheme="minorHAnsi" w:eastAsia="Calibri" w:hAnsiTheme="minorHAnsi" w:cs="Arial"/>
          <w:color w:val="auto"/>
          <w:kern w:val="0"/>
          <w:sz w:val="22"/>
          <w:szCs w:val="22"/>
        </w:rPr>
        <w:t xml:space="preserve"> a person who contravenes a direction by the Chemical Coordinator commits a </w:t>
      </w:r>
      <w:r w:rsidRPr="00E20EE4">
        <w:rPr>
          <w:rFonts w:asciiTheme="minorHAnsi" w:eastAsia="Calibri" w:hAnsiTheme="minorHAnsi" w:cs="Arial"/>
          <w:color w:val="auto"/>
          <w:kern w:val="0"/>
          <w:sz w:val="22"/>
          <w:szCs w:val="22"/>
        </w:rPr>
        <w:t>further</w:t>
      </w:r>
      <w:r w:rsidR="00114653" w:rsidRPr="00E20EE4">
        <w:rPr>
          <w:rFonts w:asciiTheme="minorHAnsi" w:eastAsia="Calibri" w:hAnsiTheme="minorHAnsi" w:cs="Arial"/>
          <w:color w:val="auto"/>
          <w:kern w:val="0"/>
          <w:sz w:val="22"/>
          <w:szCs w:val="22"/>
        </w:rPr>
        <w:t xml:space="preserve"> offence</w:t>
      </w:r>
      <w:r w:rsidRPr="00E20EE4">
        <w:rPr>
          <w:rFonts w:asciiTheme="minorHAnsi" w:eastAsia="Calibri" w:hAnsiTheme="minorHAnsi" w:cs="Arial"/>
          <w:color w:val="auto"/>
          <w:kern w:val="0"/>
          <w:sz w:val="22"/>
          <w:szCs w:val="22"/>
        </w:rPr>
        <w:t xml:space="preserve"> under Section 87 of the</w:t>
      </w:r>
      <w:r w:rsidR="00B62732" w:rsidRPr="00E20EE4">
        <w:rPr>
          <w:rFonts w:asciiTheme="minorHAnsi" w:eastAsia="Calibri" w:hAnsiTheme="minorHAnsi" w:cs="Arial"/>
          <w:color w:val="auto"/>
          <w:kern w:val="0"/>
          <w:sz w:val="22"/>
          <w:szCs w:val="22"/>
        </w:rPr>
        <w:t xml:space="preserve"> Act</w:t>
      </w:r>
      <w:r w:rsidR="00B62732">
        <w:rPr>
          <w:rFonts w:ascii="Arial" w:eastAsia="Calibri" w:hAnsi="Arial" w:cs="Arial"/>
          <w:color w:val="auto"/>
          <w:kern w:val="0"/>
          <w:sz w:val="22"/>
          <w:szCs w:val="22"/>
        </w:rPr>
        <w:t>.</w:t>
      </w:r>
    </w:p>
    <w:p w14:paraId="6662EE7A" w14:textId="71D1D7AF" w:rsidR="00BE10B2" w:rsidRPr="00E20EE4" w:rsidRDefault="00B62732" w:rsidP="00E20EE4">
      <w:pPr>
        <w:pStyle w:val="Heading2"/>
        <w:rPr>
          <w:rFonts w:eastAsiaTheme="minorEastAsia"/>
        </w:rPr>
      </w:pPr>
      <w:r w:rsidRPr="00E20EE4">
        <w:rPr>
          <w:rFonts w:eastAsiaTheme="minorEastAsia"/>
        </w:rPr>
        <w:t xml:space="preserve">More </w:t>
      </w:r>
      <w:r w:rsidR="00E20EE4" w:rsidRPr="00E20EE4">
        <w:rPr>
          <w:rFonts w:eastAsiaTheme="minorEastAsia"/>
        </w:rPr>
        <w:t>i</w:t>
      </w:r>
      <w:r w:rsidR="00BE10B2" w:rsidRPr="00E20EE4">
        <w:rPr>
          <w:rFonts w:eastAsiaTheme="minorEastAsia"/>
        </w:rPr>
        <w:t>nformation</w:t>
      </w:r>
    </w:p>
    <w:p w14:paraId="7C639FF3" w14:textId="2EF76DA1" w:rsidR="007F2B70" w:rsidRPr="00E20EE4" w:rsidRDefault="007F2B70" w:rsidP="00E20EE4">
      <w:r w:rsidRPr="00E20EE4">
        <w:t xml:space="preserve">Further information about </w:t>
      </w:r>
      <w:proofErr w:type="spellStart"/>
      <w:r w:rsidRPr="00E20EE4">
        <w:t>buffel</w:t>
      </w:r>
      <w:proofErr w:type="spellEnd"/>
      <w:r w:rsidRPr="00E20EE4">
        <w:t xml:space="preserve"> grass can be found on the Department of Environment, Parks and Water Security website located at: </w:t>
      </w:r>
      <w:hyperlink r:id="rId14" w:history="1">
        <w:r w:rsidRPr="00E20EE4">
          <w:rPr>
            <w:rStyle w:val="Hyperlink"/>
          </w:rPr>
          <w:t>Buffel grass | NT.GOV.AU</w:t>
        </w:r>
      </w:hyperlink>
      <w:r w:rsidR="00427256">
        <w:rPr>
          <w:rStyle w:val="FootnoteReference"/>
        </w:rPr>
        <w:footnoteReference w:id="1"/>
      </w:r>
    </w:p>
    <w:p w14:paraId="14FC211F" w14:textId="5FFF7694" w:rsidR="00073138" w:rsidRPr="00E20EE4" w:rsidRDefault="00C827B8" w:rsidP="00E20EE4">
      <w:r w:rsidRPr="00E20EE4">
        <w:t>F</w:t>
      </w:r>
      <w:r w:rsidR="00BE10B2" w:rsidRPr="00E20EE4">
        <w:t xml:space="preserve">urther </w:t>
      </w:r>
      <w:r w:rsidRPr="00E20EE4">
        <w:t xml:space="preserve">information </w:t>
      </w:r>
      <w:r w:rsidR="000D0E75" w:rsidRPr="00E20EE4">
        <w:t xml:space="preserve">on the safety and handling of chemicals and fertilisers can be found on their respective labels, safety data sheets </w:t>
      </w:r>
      <w:r w:rsidR="00B62732" w:rsidRPr="00E20EE4">
        <w:t>and on the</w:t>
      </w:r>
      <w:r w:rsidR="000D0E75" w:rsidRPr="00E20EE4">
        <w:t xml:space="preserve"> </w:t>
      </w:r>
      <w:hyperlink r:id="rId15" w:history="1">
        <w:r w:rsidR="000D0E75" w:rsidRPr="00E20EE4">
          <w:rPr>
            <w:rStyle w:val="Hyperlink"/>
          </w:rPr>
          <w:t>APVMA</w:t>
        </w:r>
      </w:hyperlink>
      <w:r w:rsidR="00427256">
        <w:rPr>
          <w:rStyle w:val="FootnoteReference"/>
        </w:rPr>
        <w:footnoteReference w:id="2"/>
      </w:r>
      <w:r w:rsidR="000D0E75" w:rsidRPr="00E20EE4">
        <w:t xml:space="preserve"> </w:t>
      </w:r>
      <w:r w:rsidR="00B62732" w:rsidRPr="00E20EE4">
        <w:t>website</w:t>
      </w:r>
      <w:r w:rsidR="000D0E75" w:rsidRPr="00E20EE4">
        <w:t>.</w:t>
      </w:r>
    </w:p>
    <w:p w14:paraId="278F4ED9" w14:textId="77777777" w:rsidR="00A1027E" w:rsidRPr="000D0E75" w:rsidRDefault="00FF2CDD" w:rsidP="00FF2CDD">
      <w:pPr>
        <w:tabs>
          <w:tab w:val="left" w:pos="978"/>
        </w:tabs>
        <w:rPr>
          <w:rFonts w:ascii="Arial" w:hAnsi="Arial" w:cs="Arial"/>
        </w:rPr>
      </w:pPr>
      <w:r w:rsidRPr="000D0E75">
        <w:rPr>
          <w:rFonts w:ascii="Arial" w:hAnsi="Arial" w:cs="Arial"/>
        </w:rPr>
        <w:tab/>
      </w:r>
    </w:p>
    <w:sectPr w:rsidR="00A1027E" w:rsidRPr="000D0E75" w:rsidSect="00A567EE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9E67" w14:textId="77777777" w:rsidR="002A2456" w:rsidRDefault="002A2456" w:rsidP="007332FF">
      <w:r>
        <w:separator/>
      </w:r>
    </w:p>
  </w:endnote>
  <w:endnote w:type="continuationSeparator" w:id="0">
    <w:p w14:paraId="45C7F7D6" w14:textId="77777777" w:rsidR="002A2456" w:rsidRDefault="002A245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6B58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31A7C3A0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0CA4D2A2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A1027E">
                <w:rPr>
                  <w:rStyle w:val="PageNumber"/>
                  <w:b/>
                </w:rPr>
                <w:t>Industry, Tourism &amp; Trade</w:t>
              </w:r>
            </w:sdtContent>
          </w:sdt>
        </w:p>
        <w:p w14:paraId="2A314527" w14:textId="77777777" w:rsidR="00D47DC7" w:rsidRPr="00CE6614" w:rsidRDefault="0000000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2-14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987E3A">
                <w:rPr>
                  <w:rStyle w:val="PageNumber"/>
                </w:rPr>
                <w:t>14 February 2024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943A00">
            <w:rPr>
              <w:rStyle w:val="PageNumber"/>
            </w:rPr>
            <w:t>1.0</w:t>
          </w:r>
        </w:p>
        <w:p w14:paraId="3F36BAC4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87E3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87E3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C08A37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2273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76CA80DA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1DF7D08" w14:textId="77777777" w:rsidR="00D47DC7" w:rsidRPr="00A1027E" w:rsidRDefault="00D47DC7" w:rsidP="00D47DC7">
          <w:pPr>
            <w:spacing w:after="0"/>
            <w:rPr>
              <w:rStyle w:val="PageNumber"/>
            </w:rPr>
          </w:pPr>
          <w:r w:rsidRPr="00A1027E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A1027E" w:rsidRPr="00A1027E">
                <w:rPr>
                  <w:rStyle w:val="PageNumber"/>
                </w:rPr>
                <w:t>Industry, Tourism &amp; Trade</w:t>
              </w:r>
            </w:sdtContent>
          </w:sdt>
        </w:p>
        <w:p w14:paraId="75CC5AEB" w14:textId="77777777" w:rsidR="00A1027E" w:rsidRPr="00A1027E" w:rsidRDefault="00A1027E" w:rsidP="00D47DC7">
          <w:pPr>
            <w:spacing w:after="0"/>
            <w:rPr>
              <w:rStyle w:val="PageNumber"/>
            </w:rPr>
          </w:pPr>
          <w:r w:rsidRPr="00A1027E">
            <w:rPr>
              <w:rStyle w:val="PageNumber"/>
            </w:rPr>
            <w:t>Chemical Services Branch</w:t>
          </w:r>
        </w:p>
        <w:p w14:paraId="3BC8E05C" w14:textId="77777777" w:rsidR="00D47DC7" w:rsidRPr="00CE6614" w:rsidRDefault="0000000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2-14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987E3A">
                <w:rPr>
                  <w:rStyle w:val="PageNumber"/>
                </w:rPr>
                <w:t>14 February 2024</w:t>
              </w:r>
            </w:sdtContent>
          </w:sdt>
        </w:p>
        <w:p w14:paraId="24540510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87E3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87E3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652EFE8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A6ECD80" wp14:editId="27CE550F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1BE28C6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3E3F" w14:textId="77777777" w:rsidR="002A2456" w:rsidRDefault="002A2456" w:rsidP="007332FF">
      <w:r>
        <w:separator/>
      </w:r>
    </w:p>
  </w:footnote>
  <w:footnote w:type="continuationSeparator" w:id="0">
    <w:p w14:paraId="4890ABFA" w14:textId="77777777" w:rsidR="002A2456" w:rsidRDefault="002A2456" w:rsidP="007332FF">
      <w:r>
        <w:continuationSeparator/>
      </w:r>
    </w:p>
  </w:footnote>
  <w:footnote w:id="1">
    <w:p w14:paraId="1B859ECA" w14:textId="58C0E61E" w:rsidR="00427256" w:rsidRDefault="004272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86283">
          <w:rPr>
            <w:rStyle w:val="Hyperlink"/>
          </w:rPr>
          <w:t>https://nt.gov.au/environment/weeds/weeds-in-the-nt/A-Z-list-of-weeds-in-the-NT/buffel-grass</w:t>
        </w:r>
      </w:hyperlink>
    </w:p>
  </w:footnote>
  <w:footnote w:id="2">
    <w:p w14:paraId="736B5803" w14:textId="12C11EBD" w:rsidR="00427256" w:rsidRDefault="004272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86283">
          <w:rPr>
            <w:rStyle w:val="Hyperlink"/>
          </w:rPr>
          <w:t>https://portal.apvma.gov.au/pubcris</w:t>
        </w:r>
      </w:hyperlink>
    </w:p>
    <w:p w14:paraId="36367E1B" w14:textId="77777777" w:rsidR="00427256" w:rsidRDefault="0042725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EE02" w14:textId="3A036458" w:rsidR="00983000" w:rsidRPr="00162207" w:rsidRDefault="0000000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20EE4">
          <w:t>Chemical Services – advisory note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C6BD" w14:textId="7FE06680" w:rsidR="00E54F9E" w:rsidRDefault="00000000" w:rsidP="00435082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r w:rsidR="00A1027E" w:rsidRPr="00E20EE4">
          <w:rPr>
            <w:rStyle w:val="TitleChar"/>
          </w:rPr>
          <w:t xml:space="preserve">Chemical Services – </w:t>
        </w:r>
        <w:r w:rsidR="00E20EE4">
          <w:rPr>
            <w:rStyle w:val="TitleChar"/>
          </w:rPr>
          <w:t>a</w:t>
        </w:r>
        <w:r w:rsidR="00A1027E" w:rsidRPr="00E20EE4">
          <w:rPr>
            <w:rStyle w:val="TitleChar"/>
          </w:rPr>
          <w:t xml:space="preserve">dvisory </w:t>
        </w:r>
        <w:r w:rsidR="00E20EE4">
          <w:rPr>
            <w:rStyle w:val="TitleChar"/>
          </w:rPr>
          <w:t>n</w:t>
        </w:r>
        <w:r w:rsidR="00A1027E" w:rsidRPr="00E20EE4">
          <w:rPr>
            <w:rStyle w:val="TitleChar"/>
          </w:rPr>
          <w:t>ote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AB4"/>
    <w:multiLevelType w:val="hybridMultilevel"/>
    <w:tmpl w:val="D8B88602"/>
    <w:lvl w:ilvl="0" w:tplc="705273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E0C164C"/>
    <w:multiLevelType w:val="hybridMultilevel"/>
    <w:tmpl w:val="1C52EF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1376364"/>
    <w:multiLevelType w:val="multilevel"/>
    <w:tmpl w:val="5AEC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59336E"/>
    <w:multiLevelType w:val="hybridMultilevel"/>
    <w:tmpl w:val="376ED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6660D17"/>
    <w:multiLevelType w:val="hybridMultilevel"/>
    <w:tmpl w:val="E0C80F9A"/>
    <w:lvl w:ilvl="0" w:tplc="C9AC7B7C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B695910"/>
    <w:multiLevelType w:val="hybridMultilevel"/>
    <w:tmpl w:val="6CC2E9C0"/>
    <w:lvl w:ilvl="0" w:tplc="0952F4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616661"/>
    <w:multiLevelType w:val="hybridMultilevel"/>
    <w:tmpl w:val="61580C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D1974CC"/>
    <w:multiLevelType w:val="hybridMultilevel"/>
    <w:tmpl w:val="18D27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721446275">
    <w:abstractNumId w:val="23"/>
  </w:num>
  <w:num w:numId="2" w16cid:durableId="1168709794">
    <w:abstractNumId w:val="14"/>
  </w:num>
  <w:num w:numId="3" w16cid:durableId="669061408">
    <w:abstractNumId w:val="40"/>
  </w:num>
  <w:num w:numId="4" w16cid:durableId="1356535022">
    <w:abstractNumId w:val="27"/>
  </w:num>
  <w:num w:numId="5" w16cid:durableId="657227015">
    <w:abstractNumId w:val="18"/>
  </w:num>
  <w:num w:numId="6" w16cid:durableId="1442647481">
    <w:abstractNumId w:val="9"/>
  </w:num>
  <w:num w:numId="7" w16cid:durableId="1863861762">
    <w:abstractNumId w:val="29"/>
  </w:num>
  <w:num w:numId="8" w16cid:durableId="672874045">
    <w:abstractNumId w:val="17"/>
  </w:num>
  <w:num w:numId="9" w16cid:durableId="1636567997">
    <w:abstractNumId w:val="0"/>
  </w:num>
  <w:num w:numId="10" w16cid:durableId="1721513765">
    <w:abstractNumId w:val="13"/>
  </w:num>
  <w:num w:numId="11" w16cid:durableId="818304973">
    <w:abstractNumId w:val="25"/>
  </w:num>
  <w:num w:numId="12" w16cid:durableId="2118602720">
    <w:abstractNumId w:val="21"/>
  </w:num>
  <w:num w:numId="13" w16cid:durableId="501507913">
    <w:abstractNumId w:val="36"/>
  </w:num>
  <w:num w:numId="14" w16cid:durableId="766191537">
    <w:abstractNumId w:val="37"/>
  </w:num>
  <w:num w:numId="15" w16cid:durableId="1970698301">
    <w:abstractNumId w:val="2"/>
  </w:num>
  <w:num w:numId="16" w16cid:durableId="1679770027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7E"/>
    <w:rsid w:val="000011C5"/>
    <w:rsid w:val="00001DDF"/>
    <w:rsid w:val="0000322D"/>
    <w:rsid w:val="000073B4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1A7"/>
    <w:rsid w:val="0006635A"/>
    <w:rsid w:val="000720BE"/>
    <w:rsid w:val="0007259C"/>
    <w:rsid w:val="00073138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B7D07"/>
    <w:rsid w:val="000C0474"/>
    <w:rsid w:val="000D0E75"/>
    <w:rsid w:val="000D1F29"/>
    <w:rsid w:val="000D633D"/>
    <w:rsid w:val="000E342B"/>
    <w:rsid w:val="000E3ED2"/>
    <w:rsid w:val="000E5DD2"/>
    <w:rsid w:val="000F2958"/>
    <w:rsid w:val="000F3850"/>
    <w:rsid w:val="000F604F"/>
    <w:rsid w:val="000F669C"/>
    <w:rsid w:val="00104E7F"/>
    <w:rsid w:val="001137EC"/>
    <w:rsid w:val="00114653"/>
    <w:rsid w:val="001152F5"/>
    <w:rsid w:val="00115738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572D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7C06"/>
    <w:rsid w:val="001D01C4"/>
    <w:rsid w:val="001D4F99"/>
    <w:rsid w:val="001D52B0"/>
    <w:rsid w:val="001D5A18"/>
    <w:rsid w:val="001D7CA4"/>
    <w:rsid w:val="001E057F"/>
    <w:rsid w:val="001E0CBE"/>
    <w:rsid w:val="001E14EB"/>
    <w:rsid w:val="001F59E6"/>
    <w:rsid w:val="00203F1C"/>
    <w:rsid w:val="00206936"/>
    <w:rsid w:val="00206C6F"/>
    <w:rsid w:val="00206FBD"/>
    <w:rsid w:val="00207746"/>
    <w:rsid w:val="00230031"/>
    <w:rsid w:val="00234522"/>
    <w:rsid w:val="00235C01"/>
    <w:rsid w:val="00247343"/>
    <w:rsid w:val="00265C56"/>
    <w:rsid w:val="002716CD"/>
    <w:rsid w:val="00274D4B"/>
    <w:rsid w:val="002806F5"/>
    <w:rsid w:val="00281577"/>
    <w:rsid w:val="002840E5"/>
    <w:rsid w:val="00287D73"/>
    <w:rsid w:val="002926BC"/>
    <w:rsid w:val="00293A72"/>
    <w:rsid w:val="002A0160"/>
    <w:rsid w:val="002A2456"/>
    <w:rsid w:val="002A30C3"/>
    <w:rsid w:val="002A5ADE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42EA"/>
    <w:rsid w:val="002E66A6"/>
    <w:rsid w:val="002F0DB1"/>
    <w:rsid w:val="002F2885"/>
    <w:rsid w:val="002F45A1"/>
    <w:rsid w:val="0030203D"/>
    <w:rsid w:val="003037F9"/>
    <w:rsid w:val="0030583E"/>
    <w:rsid w:val="00307FE1"/>
    <w:rsid w:val="003120DC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244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0FEB"/>
    <w:rsid w:val="00414CB3"/>
    <w:rsid w:val="0041563D"/>
    <w:rsid w:val="00426E25"/>
    <w:rsid w:val="00427256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2A37"/>
    <w:rsid w:val="004C6C39"/>
    <w:rsid w:val="004D075F"/>
    <w:rsid w:val="004D1B76"/>
    <w:rsid w:val="004D344E"/>
    <w:rsid w:val="004D464A"/>
    <w:rsid w:val="004D4D5F"/>
    <w:rsid w:val="004E019E"/>
    <w:rsid w:val="004E06EC"/>
    <w:rsid w:val="004E0A3F"/>
    <w:rsid w:val="004E2CB7"/>
    <w:rsid w:val="004E4C42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1ECB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6397"/>
    <w:rsid w:val="005E1444"/>
    <w:rsid w:val="005E144D"/>
    <w:rsid w:val="005E1500"/>
    <w:rsid w:val="005E3A43"/>
    <w:rsid w:val="005F0B17"/>
    <w:rsid w:val="005F17F8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54260"/>
    <w:rsid w:val="006670D7"/>
    <w:rsid w:val="006719EA"/>
    <w:rsid w:val="00671F13"/>
    <w:rsid w:val="0067400A"/>
    <w:rsid w:val="006847AD"/>
    <w:rsid w:val="0069114B"/>
    <w:rsid w:val="006917FC"/>
    <w:rsid w:val="00693CF6"/>
    <w:rsid w:val="006944C1"/>
    <w:rsid w:val="006A756A"/>
    <w:rsid w:val="006C0EC2"/>
    <w:rsid w:val="006D587F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1D73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44F8"/>
    <w:rsid w:val="007C5CFD"/>
    <w:rsid w:val="007C644E"/>
    <w:rsid w:val="007C6D9F"/>
    <w:rsid w:val="007C7AC5"/>
    <w:rsid w:val="007D4510"/>
    <w:rsid w:val="007D4893"/>
    <w:rsid w:val="007E70CF"/>
    <w:rsid w:val="007E74A4"/>
    <w:rsid w:val="007F1B6F"/>
    <w:rsid w:val="007F263F"/>
    <w:rsid w:val="007F2B70"/>
    <w:rsid w:val="008015A8"/>
    <w:rsid w:val="00802253"/>
    <w:rsid w:val="0080766E"/>
    <w:rsid w:val="0080796B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A00"/>
    <w:rsid w:val="009444F0"/>
    <w:rsid w:val="009468BC"/>
    <w:rsid w:val="00947FAE"/>
    <w:rsid w:val="00960725"/>
    <w:rsid w:val="009616DF"/>
    <w:rsid w:val="0096542F"/>
    <w:rsid w:val="00967FA7"/>
    <w:rsid w:val="00971645"/>
    <w:rsid w:val="00977919"/>
    <w:rsid w:val="009819C5"/>
    <w:rsid w:val="00983000"/>
    <w:rsid w:val="009870FA"/>
    <w:rsid w:val="00987E3A"/>
    <w:rsid w:val="009921C3"/>
    <w:rsid w:val="0099551D"/>
    <w:rsid w:val="0099738A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483B"/>
    <w:rsid w:val="009D63FF"/>
    <w:rsid w:val="009E175D"/>
    <w:rsid w:val="009E3CC2"/>
    <w:rsid w:val="009E7183"/>
    <w:rsid w:val="009F06BD"/>
    <w:rsid w:val="009F2A4D"/>
    <w:rsid w:val="00A00828"/>
    <w:rsid w:val="00A03290"/>
    <w:rsid w:val="00A0387E"/>
    <w:rsid w:val="00A05BFD"/>
    <w:rsid w:val="00A07490"/>
    <w:rsid w:val="00A1027E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005A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6C78"/>
    <w:rsid w:val="00B5084A"/>
    <w:rsid w:val="00B606A1"/>
    <w:rsid w:val="00B614F7"/>
    <w:rsid w:val="00B61B26"/>
    <w:rsid w:val="00B62732"/>
    <w:rsid w:val="00B65E6B"/>
    <w:rsid w:val="00B675B2"/>
    <w:rsid w:val="00B77824"/>
    <w:rsid w:val="00B77EFB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10B2"/>
    <w:rsid w:val="00BE37CA"/>
    <w:rsid w:val="00BE6144"/>
    <w:rsid w:val="00BE635A"/>
    <w:rsid w:val="00BF17E9"/>
    <w:rsid w:val="00BF2ABB"/>
    <w:rsid w:val="00BF371F"/>
    <w:rsid w:val="00BF5099"/>
    <w:rsid w:val="00C10B5E"/>
    <w:rsid w:val="00C10F10"/>
    <w:rsid w:val="00C15D4D"/>
    <w:rsid w:val="00C175DC"/>
    <w:rsid w:val="00C30171"/>
    <w:rsid w:val="00C304CF"/>
    <w:rsid w:val="00C309D8"/>
    <w:rsid w:val="00C416B5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27B8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D764F"/>
    <w:rsid w:val="00CE0A70"/>
    <w:rsid w:val="00CE640F"/>
    <w:rsid w:val="00CE76BC"/>
    <w:rsid w:val="00CF2B20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2291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0EE4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558ED"/>
    <w:rsid w:val="00E61BA2"/>
    <w:rsid w:val="00E63864"/>
    <w:rsid w:val="00E6403F"/>
    <w:rsid w:val="00E64A71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0E8B"/>
    <w:rsid w:val="00EA2C39"/>
    <w:rsid w:val="00EB0A3C"/>
    <w:rsid w:val="00EB0A96"/>
    <w:rsid w:val="00EB77F9"/>
    <w:rsid w:val="00EC5769"/>
    <w:rsid w:val="00EC623E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056CC"/>
    <w:rsid w:val="00F30AE1"/>
    <w:rsid w:val="00F5696E"/>
    <w:rsid w:val="00F60EFF"/>
    <w:rsid w:val="00F67D2D"/>
    <w:rsid w:val="00F75D00"/>
    <w:rsid w:val="00F858F2"/>
    <w:rsid w:val="00F860CC"/>
    <w:rsid w:val="00F94398"/>
    <w:rsid w:val="00FA3522"/>
    <w:rsid w:val="00FB2B56"/>
    <w:rsid w:val="00FB55D5"/>
    <w:rsid w:val="00FB60CB"/>
    <w:rsid w:val="00FC12BF"/>
    <w:rsid w:val="00FC2C60"/>
    <w:rsid w:val="00FD3E6F"/>
    <w:rsid w:val="00FD51B9"/>
    <w:rsid w:val="00FD5849"/>
    <w:rsid w:val="00FE03E4"/>
    <w:rsid w:val="00FE2A39"/>
    <w:rsid w:val="00FF2CDD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DFCD"/>
  <w15:docId w15:val="{0C72EB0E-B162-4F83-9974-5FEB3DA0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7256"/>
    <w:rPr>
      <w:color w:val="8C479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3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portal.apvma.gov.au/pubcris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legislation.nt.gov.au/en/Legislation/AGRICULTURAL-AND-VETERINARY-CHEMICALS-CONTROL-OF-USE-ACT-2004" TargetMode="External"/><Relationship Id="rId14" Type="http://schemas.openxmlformats.org/officeDocument/2006/relationships/hyperlink" Target="https://nt.gov.au/environment/weeds/weeds-in-the-nt/A-Z-list-of-weeds-in-the-NT/buffel-gras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ortal.apvma.gov.au/pubcris" TargetMode="External"/><Relationship Id="rId1" Type="http://schemas.openxmlformats.org/officeDocument/2006/relationships/hyperlink" Target="https://nt.gov.au/environment/weeds/weeds-in-the-nt/A-Z-list-of-weeds-in-the-NT/buffel-gra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wh\Downloads\ntg-short-document-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838AAB-84C9-40D6-9CD5-A8ACBE42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ntg-short-document-portrait.dotx</Template>
  <TotalTime>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Services – advisory note</vt:lpstr>
    </vt:vector>
  </TitlesOfParts>
  <Company>Industry, Tourism &amp; Trade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Services – advisory note</dc:title>
  <dc:creator>NorthernTerritoryGovernment@ntgov.onmicrosoft.com</dc:creator>
  <cp:lastModifiedBy>Nicola Kalmar</cp:lastModifiedBy>
  <cp:revision>2</cp:revision>
  <cp:lastPrinted>2023-06-05T00:07:00Z</cp:lastPrinted>
  <dcterms:created xsi:type="dcterms:W3CDTF">2024-02-19T01:22:00Z</dcterms:created>
  <dcterms:modified xsi:type="dcterms:W3CDTF">2024-02-19T01:22:00Z</dcterms:modified>
</cp:coreProperties>
</file>