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B26B88" w:rsidP="00B26B88">
      <w:pPr>
        <w:pStyle w:val="Subtitle0"/>
        <w:rPr>
          <w:noProof/>
          <w:lang w:eastAsia="en-AU"/>
        </w:rPr>
      </w:pPr>
      <w:r>
        <w:rPr>
          <w:noProof/>
          <w:lang w:eastAsia="en-AU"/>
        </w:rPr>
        <w:t>Annual financial return / audited financial statements checklist</w:t>
      </w:r>
    </w:p>
    <w:p w:rsidR="00614380" w:rsidRDefault="00B26B88" w:rsidP="00C62A34">
      <w:pPr>
        <w:rPr>
          <w:i/>
        </w:rPr>
      </w:pPr>
      <w:r w:rsidRPr="00B26B88">
        <w:rPr>
          <w:i/>
        </w:rPr>
        <w:t>Associations Act 2003</w:t>
      </w:r>
    </w:p>
    <w:p w:rsidR="00B26B88" w:rsidRDefault="00B26B88" w:rsidP="00B26B88">
      <w:pPr>
        <w:pStyle w:val="Heading1"/>
        <w:rPr>
          <w:lang w:eastAsia="en-AU"/>
        </w:rPr>
      </w:pPr>
      <w:r>
        <w:rPr>
          <w:lang w:eastAsia="en-AU"/>
        </w:rPr>
        <w:t>Timeframes</w:t>
      </w:r>
    </w:p>
    <w:p w:rsidR="00B26B88" w:rsidRPr="00CE3CFF" w:rsidRDefault="00B26B88" w:rsidP="00C7308F">
      <w:pPr>
        <w:pStyle w:val="ListParagraph"/>
        <w:numPr>
          <w:ilvl w:val="0"/>
          <w:numId w:val="9"/>
        </w:numPr>
        <w:rPr>
          <w:bCs/>
          <w:iCs w:val="0"/>
          <w:lang w:val="en-US"/>
        </w:rPr>
      </w:pPr>
      <w:r w:rsidRPr="00CE3CFF">
        <w:rPr>
          <w:bCs/>
          <w:lang w:val="en-US"/>
        </w:rPr>
        <w:t>The constitution determines the end of financial year (EOFY).</w:t>
      </w:r>
    </w:p>
    <w:p w:rsidR="00B26B88" w:rsidRPr="00CE3CFF" w:rsidRDefault="00B26B88" w:rsidP="00C7308F">
      <w:pPr>
        <w:pStyle w:val="ListParagraph"/>
        <w:numPr>
          <w:ilvl w:val="0"/>
          <w:numId w:val="9"/>
        </w:numPr>
        <w:rPr>
          <w:bCs/>
          <w:iCs w:val="0"/>
          <w:lang w:val="en-US"/>
        </w:rPr>
      </w:pPr>
      <w:r w:rsidRPr="00CE3CFF">
        <w:rPr>
          <w:bCs/>
          <w:lang w:val="en-US"/>
        </w:rPr>
        <w:t>The A</w:t>
      </w:r>
      <w:r>
        <w:rPr>
          <w:bCs/>
          <w:lang w:val="en-US"/>
        </w:rPr>
        <w:t xml:space="preserve">nnual </w:t>
      </w:r>
      <w:r w:rsidRPr="00CE3CFF">
        <w:rPr>
          <w:bCs/>
          <w:lang w:val="en-US"/>
        </w:rPr>
        <w:t>G</w:t>
      </w:r>
      <w:r>
        <w:rPr>
          <w:bCs/>
          <w:lang w:val="en-US"/>
        </w:rPr>
        <w:t xml:space="preserve">eneral </w:t>
      </w:r>
      <w:r w:rsidRPr="00CE3CFF">
        <w:rPr>
          <w:bCs/>
          <w:lang w:val="en-US"/>
        </w:rPr>
        <w:t>M</w:t>
      </w:r>
      <w:r>
        <w:rPr>
          <w:bCs/>
          <w:lang w:val="en-US"/>
        </w:rPr>
        <w:t>eeting (AGM)</w:t>
      </w:r>
      <w:r w:rsidRPr="00CE3CFF">
        <w:rPr>
          <w:bCs/>
          <w:lang w:val="en-US"/>
        </w:rPr>
        <w:t xml:space="preserve"> </w:t>
      </w:r>
      <w:proofErr w:type="gramStart"/>
      <w:r w:rsidRPr="00CE3CFF">
        <w:rPr>
          <w:bCs/>
          <w:lang w:val="en-US"/>
        </w:rPr>
        <w:t>must be held</w:t>
      </w:r>
      <w:proofErr w:type="gramEnd"/>
      <w:r w:rsidRPr="00CE3CFF">
        <w:rPr>
          <w:bCs/>
          <w:lang w:val="en-US"/>
        </w:rPr>
        <w:t xml:space="preserve"> within 5 months of the EOFY</w:t>
      </w:r>
      <w:r>
        <w:rPr>
          <w:bCs/>
          <w:lang w:val="en-US"/>
        </w:rPr>
        <w:t>.</w:t>
      </w:r>
    </w:p>
    <w:p w:rsidR="00B26B88" w:rsidRPr="00CE3CFF" w:rsidRDefault="00B26B88" w:rsidP="00C7308F">
      <w:pPr>
        <w:pStyle w:val="ListParagraph"/>
        <w:numPr>
          <w:ilvl w:val="0"/>
          <w:numId w:val="9"/>
        </w:numPr>
        <w:rPr>
          <w:bCs/>
          <w:iCs w:val="0"/>
          <w:lang w:val="en-US"/>
        </w:rPr>
      </w:pPr>
      <w:r w:rsidRPr="00CE3CFF">
        <w:rPr>
          <w:bCs/>
          <w:lang w:val="en-US"/>
        </w:rPr>
        <w:t>The financial statement must be completed (signed and dated by the auditor) and made available to the members 14 days before the AGM.</w:t>
      </w:r>
    </w:p>
    <w:p w:rsidR="00B26B88" w:rsidRPr="00CE3CFF" w:rsidRDefault="00B26B88" w:rsidP="00C7308F">
      <w:pPr>
        <w:pStyle w:val="ListParagraph"/>
        <w:numPr>
          <w:ilvl w:val="0"/>
          <w:numId w:val="9"/>
        </w:numPr>
        <w:rPr>
          <w:bCs/>
          <w:iCs w:val="0"/>
          <w:lang w:val="en-US"/>
        </w:rPr>
      </w:pPr>
      <w:r w:rsidRPr="00CE3CFF">
        <w:rPr>
          <w:bCs/>
          <w:lang w:val="en-US"/>
        </w:rPr>
        <w:t xml:space="preserve">The financial statement </w:t>
      </w:r>
      <w:proofErr w:type="gramStart"/>
      <w:r w:rsidRPr="00CE3CFF">
        <w:rPr>
          <w:bCs/>
          <w:lang w:val="en-US"/>
        </w:rPr>
        <w:t>is required to be lodged</w:t>
      </w:r>
      <w:proofErr w:type="gramEnd"/>
      <w:r w:rsidRPr="00CE3CFF">
        <w:rPr>
          <w:bCs/>
          <w:lang w:val="en-US"/>
        </w:rPr>
        <w:t xml:space="preserve"> within 28 days of the AGM.</w:t>
      </w:r>
    </w:p>
    <w:p w:rsidR="00B26B88" w:rsidRDefault="00B26B88" w:rsidP="00B26B88">
      <w:pPr>
        <w:pStyle w:val="Heading1"/>
        <w:rPr>
          <w:lang w:eastAsia="en-AU"/>
        </w:rPr>
      </w:pPr>
      <w:r>
        <w:rPr>
          <w:lang w:eastAsia="en-AU"/>
        </w:rPr>
        <w:t>Checklist</w:t>
      </w:r>
    </w:p>
    <w:p w:rsidR="00B26B88" w:rsidRPr="000D30C3" w:rsidRDefault="00B26B88" w:rsidP="00B26B88">
      <w:pPr>
        <w:spacing w:after="120"/>
      </w:pPr>
      <w:r w:rsidRPr="000D30C3">
        <w:rPr>
          <w:lang w:val="en-US"/>
        </w:rPr>
        <w:t>To assist you in completing the Annual Financial Return</w:t>
      </w:r>
      <w:r>
        <w:rPr>
          <w:lang w:val="en-US"/>
        </w:rPr>
        <w:t>,</w:t>
      </w:r>
      <w:r w:rsidRPr="000D30C3">
        <w:rPr>
          <w:lang w:val="en-US"/>
        </w:rPr>
        <w:t xml:space="preserve"> please refer to the</w:t>
      </w:r>
      <w:r>
        <w:rPr>
          <w:lang w:val="en-US"/>
        </w:rPr>
        <w:t xml:space="preserve"> information below.</w:t>
      </w:r>
    </w:p>
    <w:p w:rsidR="00B26B88" w:rsidRPr="000D30C3" w:rsidRDefault="00B26B88" w:rsidP="00C7308F">
      <w:pPr>
        <w:numPr>
          <w:ilvl w:val="0"/>
          <w:numId w:val="10"/>
        </w:numPr>
        <w:tabs>
          <w:tab w:val="clear" w:pos="1080"/>
        </w:tabs>
        <w:spacing w:before="60" w:after="120"/>
        <w:ind w:left="1134" w:hanging="708"/>
      </w:pPr>
      <w:r>
        <w:rPr>
          <w:lang w:val="en-US"/>
        </w:rPr>
        <w:t>Correct name of a</w:t>
      </w:r>
      <w:r w:rsidRPr="000D30C3">
        <w:rPr>
          <w:lang w:val="en-US"/>
        </w:rPr>
        <w:t xml:space="preserve">ssociation </w:t>
      </w:r>
      <w:proofErr w:type="gramStart"/>
      <w:r w:rsidRPr="000D30C3">
        <w:rPr>
          <w:lang w:val="en-US"/>
        </w:rPr>
        <w:t>is stated</w:t>
      </w:r>
      <w:proofErr w:type="gramEnd"/>
      <w:r w:rsidRPr="000D30C3">
        <w:rPr>
          <w:lang w:val="en-US"/>
        </w:rPr>
        <w:t xml:space="preserve"> in full on every page inclu</w:t>
      </w:r>
      <w:r>
        <w:rPr>
          <w:lang w:val="en-US"/>
        </w:rPr>
        <w:t>ding “Incorporated” or “Inc.”</w:t>
      </w:r>
      <w:r w:rsidRPr="000D30C3">
        <w:rPr>
          <w:lang w:val="en-US"/>
        </w:rPr>
        <w:t xml:space="preserve"> If unsu</w:t>
      </w:r>
      <w:r>
        <w:rPr>
          <w:lang w:val="en-US"/>
        </w:rPr>
        <w:t>re, refer to the association’s certificate of i</w:t>
      </w:r>
      <w:r w:rsidRPr="000D30C3">
        <w:rPr>
          <w:lang w:val="en-US"/>
        </w:rPr>
        <w:t>ncorporation</w:t>
      </w:r>
      <w:r>
        <w:rPr>
          <w:lang w:val="en-US"/>
        </w:rPr>
        <w:t xml:space="preserve"> or check using the public </w:t>
      </w:r>
      <w:r w:rsidRPr="00035707">
        <w:rPr>
          <w:lang w:val="en-US"/>
        </w:rPr>
        <w:t>portal</w:t>
      </w:r>
      <w:r w:rsidR="00EF3943">
        <w:rPr>
          <w:rStyle w:val="FootnoteReference"/>
          <w:lang w:val="en-US"/>
        </w:rPr>
        <w:footnoteReference w:id="1"/>
      </w:r>
      <w:r w:rsidR="00EF3943">
        <w:rPr>
          <w:lang w:val="en-US"/>
        </w:rPr>
        <w:t>.</w:t>
      </w:r>
    </w:p>
    <w:p w:rsidR="00B26B88" w:rsidRPr="000D30C3" w:rsidRDefault="00B26B88" w:rsidP="00C7308F">
      <w:pPr>
        <w:numPr>
          <w:ilvl w:val="0"/>
          <w:numId w:val="10"/>
        </w:numPr>
        <w:tabs>
          <w:tab w:val="clear" w:pos="1080"/>
        </w:tabs>
        <w:spacing w:after="120"/>
        <w:ind w:left="1134" w:hanging="708"/>
      </w:pPr>
      <w:r>
        <w:rPr>
          <w:lang w:val="en-US"/>
        </w:rPr>
        <w:t>The f</w:t>
      </w:r>
      <w:r w:rsidRPr="000D30C3">
        <w:rPr>
          <w:lang w:val="en-US"/>
        </w:rPr>
        <w:t xml:space="preserve">inancial </w:t>
      </w:r>
      <w:r>
        <w:rPr>
          <w:lang w:val="en-US"/>
        </w:rPr>
        <w:t>year is correct.</w:t>
      </w:r>
      <w:r w:rsidRPr="000D30C3">
        <w:rPr>
          <w:lang w:val="en-US"/>
        </w:rPr>
        <w:t xml:space="preserve"> If unsure, refer to the assoc</w:t>
      </w:r>
      <w:r>
        <w:rPr>
          <w:lang w:val="en-US"/>
        </w:rPr>
        <w:t xml:space="preserve">iation’s current constitution. </w:t>
      </w:r>
      <w:r w:rsidRPr="000D30C3">
        <w:rPr>
          <w:lang w:val="en-US"/>
        </w:rPr>
        <w:t>Please note</w:t>
      </w:r>
      <w:proofErr w:type="gramStart"/>
      <w:r w:rsidRPr="000D30C3">
        <w:rPr>
          <w:lang w:val="en-US"/>
        </w:rPr>
        <w:t>,</w:t>
      </w:r>
      <w:proofErr w:type="gramEnd"/>
      <w:r w:rsidRPr="000D30C3">
        <w:rPr>
          <w:lang w:val="en-US"/>
        </w:rPr>
        <w:t xml:space="preserve"> an association may only amend its financial year by lodging an</w:t>
      </w:r>
      <w:r>
        <w:rPr>
          <w:lang w:val="en-US"/>
        </w:rPr>
        <w:t xml:space="preserve"> amended constitution</w:t>
      </w:r>
      <w:r w:rsidRPr="000D30C3">
        <w:rPr>
          <w:lang w:val="en-US"/>
        </w:rPr>
        <w:t>.</w:t>
      </w:r>
    </w:p>
    <w:p w:rsidR="00B26B88" w:rsidRPr="000D30C3" w:rsidRDefault="00B26B88" w:rsidP="00C7308F">
      <w:pPr>
        <w:numPr>
          <w:ilvl w:val="0"/>
          <w:numId w:val="10"/>
        </w:numPr>
        <w:tabs>
          <w:tab w:val="clear" w:pos="1080"/>
        </w:tabs>
        <w:spacing w:before="60" w:after="120"/>
        <w:ind w:left="1134" w:hanging="708"/>
      </w:pPr>
      <w:proofErr w:type="gramStart"/>
      <w:r>
        <w:rPr>
          <w:lang w:val="en-US"/>
        </w:rPr>
        <w:t>The a</w:t>
      </w:r>
      <w:r w:rsidRPr="000D30C3">
        <w:rPr>
          <w:lang w:val="en-US"/>
        </w:rPr>
        <w:t>udit has been conducted by a person with the relevant qualifications pursuant to the Act</w:t>
      </w:r>
      <w:proofErr w:type="gramEnd"/>
      <w:r>
        <w:rPr>
          <w:lang w:val="en-US"/>
        </w:rPr>
        <w:t>. The a</w:t>
      </w:r>
      <w:r w:rsidRPr="000D30C3">
        <w:rPr>
          <w:lang w:val="en-US"/>
        </w:rPr>
        <w:t>uditor’s report</w:t>
      </w:r>
      <w:r>
        <w:rPr>
          <w:lang w:val="en-US"/>
        </w:rPr>
        <w:t xml:space="preserve"> </w:t>
      </w:r>
      <w:proofErr w:type="gramStart"/>
      <w:r>
        <w:rPr>
          <w:lang w:val="en-US"/>
        </w:rPr>
        <w:t>must state</w:t>
      </w:r>
      <w:r w:rsidRPr="000D30C3">
        <w:rPr>
          <w:lang w:val="en-US"/>
        </w:rPr>
        <w:t xml:space="preserve"> the </w:t>
      </w:r>
      <w:r>
        <w:rPr>
          <w:lang w:val="en-US"/>
        </w:rPr>
        <w:t>auditor’s qualifications, state</w:t>
      </w:r>
      <w:r w:rsidRPr="000D30C3">
        <w:rPr>
          <w:lang w:val="en-US"/>
        </w:rPr>
        <w:t xml:space="preserve"> the correct</w:t>
      </w:r>
      <w:r>
        <w:rPr>
          <w:lang w:val="en-US"/>
        </w:rPr>
        <w:t xml:space="preserve"> and full name of the a</w:t>
      </w:r>
      <w:r w:rsidRPr="000D30C3">
        <w:rPr>
          <w:lang w:val="en-US"/>
        </w:rPr>
        <w:t>ssociation and financial year, and is signed and dated by the auditor</w:t>
      </w:r>
      <w:proofErr w:type="gramEnd"/>
      <w:r>
        <w:rPr>
          <w:lang w:val="en-US"/>
        </w:rPr>
        <w:t>.</w:t>
      </w:r>
    </w:p>
    <w:p w:rsidR="00B26B88" w:rsidRDefault="00B26B88" w:rsidP="00C7308F">
      <w:pPr>
        <w:numPr>
          <w:ilvl w:val="0"/>
          <w:numId w:val="10"/>
        </w:numPr>
        <w:tabs>
          <w:tab w:val="clear" w:pos="1080"/>
        </w:tabs>
        <w:spacing w:before="60" w:after="120"/>
        <w:ind w:left="1134" w:hanging="708"/>
      </w:pPr>
      <w:r>
        <w:rPr>
          <w:lang w:val="en-US"/>
        </w:rPr>
        <w:t>The profit &amp; loss statement, balance sheet and notes to the f</w:t>
      </w:r>
      <w:r w:rsidRPr="000D30C3">
        <w:rPr>
          <w:lang w:val="en-US"/>
        </w:rPr>
        <w:t>inancials</w:t>
      </w:r>
      <w:r>
        <w:rPr>
          <w:lang w:val="en-US"/>
        </w:rPr>
        <w:t xml:space="preserve"> are included and show the comparison to</w:t>
      </w:r>
      <w:r w:rsidRPr="000D30C3">
        <w:rPr>
          <w:lang w:val="en-US"/>
        </w:rPr>
        <w:t xml:space="preserve"> the previous </w:t>
      </w:r>
      <w:r>
        <w:rPr>
          <w:lang w:val="en-US"/>
        </w:rPr>
        <w:t>financial year</w:t>
      </w:r>
      <w:r w:rsidRPr="000D30C3">
        <w:rPr>
          <w:lang w:val="en-US"/>
        </w:rPr>
        <w:t xml:space="preserve"> figures.</w:t>
      </w:r>
    </w:p>
    <w:p w:rsidR="00B26B88" w:rsidRPr="002B1669" w:rsidRDefault="00B26B88" w:rsidP="00C7308F">
      <w:pPr>
        <w:numPr>
          <w:ilvl w:val="0"/>
          <w:numId w:val="10"/>
        </w:numPr>
        <w:tabs>
          <w:tab w:val="clear" w:pos="1080"/>
        </w:tabs>
        <w:spacing w:before="60" w:after="120"/>
        <w:ind w:left="1134" w:hanging="708"/>
      </w:pPr>
      <w:r w:rsidRPr="002B1669">
        <w:rPr>
          <w:lang w:val="en-US"/>
        </w:rPr>
        <w:t xml:space="preserve">Required committee opinion as per </w:t>
      </w:r>
      <w:r>
        <w:rPr>
          <w:lang w:val="en-US"/>
        </w:rPr>
        <w:t>Schedule 4 of the Regulations:</w:t>
      </w:r>
    </w:p>
    <w:p w:rsidR="00B26B88" w:rsidRPr="005E05DF" w:rsidRDefault="00B26B88" w:rsidP="00C7308F">
      <w:pPr>
        <w:numPr>
          <w:ilvl w:val="0"/>
          <w:numId w:val="12"/>
        </w:numPr>
        <w:spacing w:after="120"/>
        <w:rPr>
          <w:szCs w:val="26"/>
        </w:rPr>
      </w:pPr>
      <w:r w:rsidRPr="005E05DF">
        <w:rPr>
          <w:szCs w:val="26"/>
        </w:rPr>
        <w:t>the accompanying financial report is drawn up so as to present fair</w:t>
      </w:r>
      <w:r>
        <w:rPr>
          <w:szCs w:val="26"/>
        </w:rPr>
        <w:t>ly the state of affairs of the a</w:t>
      </w:r>
      <w:r w:rsidRPr="005E05DF">
        <w:rPr>
          <w:szCs w:val="26"/>
        </w:rPr>
        <w:t xml:space="preserve">ssociation </w:t>
      </w:r>
    </w:p>
    <w:p w:rsidR="00B26B88" w:rsidRPr="005E05DF" w:rsidRDefault="00B26B88" w:rsidP="00C7308F">
      <w:pPr>
        <w:pStyle w:val="ListParagraph"/>
        <w:numPr>
          <w:ilvl w:val="0"/>
          <w:numId w:val="12"/>
        </w:numPr>
        <w:rPr>
          <w:szCs w:val="26"/>
        </w:rPr>
      </w:pPr>
      <w:r>
        <w:rPr>
          <w:szCs w:val="26"/>
        </w:rPr>
        <w:t>the accounts of the a</w:t>
      </w:r>
      <w:r w:rsidRPr="005E05DF">
        <w:rPr>
          <w:szCs w:val="26"/>
        </w:rPr>
        <w:t>ssociation have been properly prepared and are in accordance wi</w:t>
      </w:r>
      <w:r>
        <w:rPr>
          <w:szCs w:val="26"/>
        </w:rPr>
        <w:t>th the books of account of the a</w:t>
      </w:r>
      <w:r w:rsidRPr="005E05DF">
        <w:rPr>
          <w:szCs w:val="26"/>
        </w:rPr>
        <w:t>ssociation; and</w:t>
      </w:r>
    </w:p>
    <w:p w:rsidR="00B26B88" w:rsidRPr="005E05DF" w:rsidRDefault="00B26B88" w:rsidP="00C7308F">
      <w:pPr>
        <w:pStyle w:val="ListParagraph"/>
        <w:numPr>
          <w:ilvl w:val="0"/>
          <w:numId w:val="12"/>
        </w:numPr>
        <w:spacing w:after="240"/>
        <w:rPr>
          <w:szCs w:val="26"/>
        </w:rPr>
      </w:pPr>
      <w:proofErr w:type="gramStart"/>
      <w:r w:rsidRPr="005E05DF">
        <w:rPr>
          <w:szCs w:val="26"/>
        </w:rPr>
        <w:t>there</w:t>
      </w:r>
      <w:proofErr w:type="gramEnd"/>
      <w:r w:rsidRPr="005E05DF">
        <w:rPr>
          <w:szCs w:val="26"/>
        </w:rPr>
        <w:t xml:space="preserve"> are reasonab</w:t>
      </w:r>
      <w:r>
        <w:rPr>
          <w:szCs w:val="26"/>
        </w:rPr>
        <w:t>le grounds to believe that the a</w:t>
      </w:r>
      <w:r w:rsidRPr="005E05DF">
        <w:rPr>
          <w:szCs w:val="26"/>
        </w:rPr>
        <w:t>ssociation will be able to pay its debts as and when they fall due.</w:t>
      </w:r>
    </w:p>
    <w:p w:rsidR="00B26B88" w:rsidRPr="000D30C3" w:rsidRDefault="00B26B88" w:rsidP="00C7308F">
      <w:pPr>
        <w:numPr>
          <w:ilvl w:val="0"/>
          <w:numId w:val="10"/>
        </w:numPr>
        <w:tabs>
          <w:tab w:val="clear" w:pos="1080"/>
        </w:tabs>
        <w:spacing w:before="60" w:after="120"/>
        <w:ind w:left="1134" w:hanging="708"/>
      </w:pPr>
      <w:r>
        <w:rPr>
          <w:lang w:val="en-US"/>
        </w:rPr>
        <w:t>Committee statement with p</w:t>
      </w:r>
      <w:r w:rsidRPr="000D30C3">
        <w:rPr>
          <w:lang w:val="en-US"/>
        </w:rPr>
        <w:t xml:space="preserve">rescribed Information as per section 43(1)(c) of the Act, which includes: </w:t>
      </w:r>
    </w:p>
    <w:p w:rsidR="00B26B88" w:rsidRPr="000D30C3" w:rsidRDefault="00B26B88" w:rsidP="00C7308F">
      <w:pPr>
        <w:numPr>
          <w:ilvl w:val="3"/>
          <w:numId w:val="11"/>
        </w:numPr>
        <w:tabs>
          <w:tab w:val="clear" w:pos="1495"/>
          <w:tab w:val="left" w:pos="2127"/>
        </w:tabs>
        <w:spacing w:after="120"/>
        <w:ind w:left="1843" w:hanging="709"/>
      </w:pPr>
      <w:r>
        <w:t>The name of each member of the m</w:t>
      </w:r>
      <w:r w:rsidRPr="000D30C3">
        <w:t xml:space="preserve">anagement </w:t>
      </w:r>
      <w:r>
        <w:t>c</w:t>
      </w:r>
      <w:r w:rsidRPr="000D30C3">
        <w:t>ommittee of the association during the relevant year;</w:t>
      </w:r>
    </w:p>
    <w:p w:rsidR="00B26B88" w:rsidRPr="000D30C3" w:rsidRDefault="00B26B88" w:rsidP="00C7308F">
      <w:pPr>
        <w:numPr>
          <w:ilvl w:val="3"/>
          <w:numId w:val="11"/>
        </w:numPr>
        <w:tabs>
          <w:tab w:val="clear" w:pos="1495"/>
        </w:tabs>
        <w:spacing w:after="120"/>
        <w:ind w:left="1843" w:hanging="709"/>
      </w:pPr>
      <w:r w:rsidRPr="000D30C3">
        <w:lastRenderedPageBreak/>
        <w:t>The principal activities of the association during the relevant year, and any significant change in the nature of those activities that occurred during the relevant year; and</w:t>
      </w:r>
    </w:p>
    <w:p w:rsidR="00B26B88" w:rsidRPr="000D30C3" w:rsidRDefault="00B26B88" w:rsidP="00C7308F">
      <w:pPr>
        <w:pStyle w:val="ListParagraph"/>
        <w:numPr>
          <w:ilvl w:val="3"/>
          <w:numId w:val="11"/>
        </w:numPr>
        <w:tabs>
          <w:tab w:val="clear" w:pos="1495"/>
        </w:tabs>
        <w:ind w:left="1843" w:hanging="709"/>
        <w:contextualSpacing/>
      </w:pPr>
      <w:r w:rsidRPr="000D30C3">
        <w:rPr>
          <w:lang w:val="en-US"/>
        </w:rPr>
        <w:t>The net profit or loss of the association for the rele</w:t>
      </w:r>
      <w:r>
        <w:rPr>
          <w:lang w:val="en-US"/>
        </w:rPr>
        <w:t>vant year (net figure from the profit and loss s</w:t>
      </w:r>
      <w:r w:rsidRPr="000D30C3">
        <w:rPr>
          <w:lang w:val="en-US"/>
        </w:rPr>
        <w:t xml:space="preserve">tatement). </w:t>
      </w:r>
    </w:p>
    <w:p w:rsidR="00B26B88" w:rsidRPr="00B26B88" w:rsidRDefault="00B26B88" w:rsidP="00B26B88">
      <w:r w:rsidRPr="000D30C3">
        <w:rPr>
          <w:b/>
          <w:bCs/>
          <w:lang w:val="en-US"/>
        </w:rPr>
        <w:t xml:space="preserve">NOTE: </w:t>
      </w:r>
      <w:r w:rsidRPr="00B26B88">
        <w:rPr>
          <w:bCs/>
          <w:lang w:val="en-US"/>
        </w:rPr>
        <w:t xml:space="preserve">The required committee information (opinion and prescribed information) can be contained within the one document and </w:t>
      </w:r>
      <w:proofErr w:type="gramStart"/>
      <w:r w:rsidRPr="00B26B88">
        <w:rPr>
          <w:bCs/>
          <w:lang w:val="en-US"/>
        </w:rPr>
        <w:t>is required to be signed</w:t>
      </w:r>
      <w:proofErr w:type="gramEnd"/>
      <w:r w:rsidRPr="00B26B88">
        <w:rPr>
          <w:bCs/>
          <w:lang w:val="en-US"/>
        </w:rPr>
        <w:t xml:space="preserve"> by </w:t>
      </w:r>
      <w:r w:rsidRPr="00B26B88">
        <w:rPr>
          <w:bCs/>
          <w:u w:val="single"/>
          <w:lang w:val="en-US"/>
        </w:rPr>
        <w:t>two</w:t>
      </w:r>
      <w:r w:rsidRPr="00B26B88">
        <w:rPr>
          <w:bCs/>
          <w:lang w:val="en-US"/>
        </w:rPr>
        <w:t xml:space="preserve"> committee members.</w:t>
      </w:r>
    </w:p>
    <w:p w:rsidR="00B26B88" w:rsidRPr="000D30C3" w:rsidRDefault="00B26B88" w:rsidP="00B26B88">
      <w:pPr>
        <w:pStyle w:val="ListParagraph"/>
        <w:ind w:left="1080"/>
        <w:contextualSpacing/>
      </w:pPr>
    </w:p>
    <w:p w:rsidR="00B26B88" w:rsidRPr="002B1669" w:rsidRDefault="00B26B88" w:rsidP="00C7308F">
      <w:pPr>
        <w:numPr>
          <w:ilvl w:val="0"/>
          <w:numId w:val="10"/>
        </w:numPr>
        <w:tabs>
          <w:tab w:val="clear" w:pos="1080"/>
        </w:tabs>
        <w:spacing w:after="0"/>
        <w:ind w:left="1134" w:hanging="708"/>
      </w:pPr>
      <w:r>
        <w:rPr>
          <w:lang w:val="en-US"/>
        </w:rPr>
        <w:t>The audited financial s</w:t>
      </w:r>
      <w:r w:rsidRPr="000D30C3">
        <w:rPr>
          <w:lang w:val="en-US"/>
        </w:rPr>
        <w:t xml:space="preserve">tatements </w:t>
      </w:r>
      <w:proofErr w:type="gramStart"/>
      <w:r w:rsidRPr="000D30C3">
        <w:rPr>
          <w:lang w:val="en-US"/>
        </w:rPr>
        <w:t>were made</w:t>
      </w:r>
      <w:proofErr w:type="gramEnd"/>
      <w:r w:rsidRPr="000D30C3">
        <w:rPr>
          <w:lang w:val="en-US"/>
        </w:rPr>
        <w:t xml:space="preserve"> available to members of the association at least 14 days prior to the AGM.</w:t>
      </w:r>
      <w:r>
        <w:rPr>
          <w:lang w:val="en-US"/>
        </w:rPr>
        <w:t xml:space="preserve">  </w:t>
      </w:r>
    </w:p>
    <w:p w:rsidR="00B26B88" w:rsidRPr="002B1669" w:rsidRDefault="00B26B88" w:rsidP="00B26B88">
      <w:pPr>
        <w:ind w:left="1134"/>
      </w:pPr>
    </w:p>
    <w:p w:rsidR="00B26B88" w:rsidRDefault="00B26B88" w:rsidP="00B26B88">
      <w:pPr>
        <w:rPr>
          <w:lang w:val="en-US"/>
        </w:rPr>
      </w:pPr>
      <w:r>
        <w:rPr>
          <w:lang w:val="en-US"/>
        </w:rPr>
        <w:t>The 14 days starts from the date the auditor signs and dates the auditor’s report.</w:t>
      </w:r>
    </w:p>
    <w:p w:rsidR="00B26B88" w:rsidRDefault="00B26B88" w:rsidP="00B26B88">
      <w:pPr>
        <w:pStyle w:val="Heading1"/>
      </w:pPr>
      <w:r>
        <w:t>Lodgement</w:t>
      </w:r>
    </w:p>
    <w:p w:rsidR="00B26B88" w:rsidRPr="00B26B88" w:rsidRDefault="00B26B88" w:rsidP="00B26B88">
      <w:pPr>
        <w:spacing w:after="120"/>
        <w:rPr>
          <w:b/>
        </w:rPr>
      </w:pPr>
      <w:r>
        <w:rPr>
          <w:b/>
        </w:rPr>
        <w:t>Online portal</w:t>
      </w:r>
    </w:p>
    <w:p w:rsidR="00B26B88" w:rsidRDefault="00B26B88" w:rsidP="00B26B88">
      <w:pPr>
        <w:spacing w:after="120"/>
      </w:pPr>
      <w:r w:rsidRPr="00B26B88">
        <w:t>Licensing NT Online</w:t>
      </w:r>
      <w:r>
        <w:rPr>
          <w:rStyle w:val="FootnoteReference"/>
        </w:rPr>
        <w:footnoteReference w:id="2"/>
      </w:r>
      <w:r w:rsidRPr="00E0380A">
        <w:t xml:space="preserve"> (you need to create a</w:t>
      </w:r>
      <w:r>
        <w:t xml:space="preserve"> </w:t>
      </w:r>
      <w:r w:rsidRPr="00E0380A">
        <w:t>registered user</w:t>
      </w:r>
      <w:r>
        <w:t xml:space="preserve"> and then</w:t>
      </w:r>
      <w:r w:rsidRPr="00E0380A">
        <w:t xml:space="preserve"> call 8999 1</w:t>
      </w:r>
      <w:r>
        <w:t>800</w:t>
      </w:r>
      <w:r w:rsidRPr="00E0380A">
        <w:t xml:space="preserve"> to be ‘linked’ to the association and then you can commence the lodgement online).</w:t>
      </w:r>
    </w:p>
    <w:p w:rsidR="00B26B88" w:rsidRPr="00E0380A" w:rsidRDefault="00B26B88" w:rsidP="00B26B88">
      <w:pPr>
        <w:spacing w:after="120"/>
      </w:pPr>
      <w:r>
        <w:t>If you are linked to the association head to “My Renewals” and “Annual Return”.</w:t>
      </w:r>
    </w:p>
    <w:p w:rsidR="00B26B88" w:rsidRPr="00B26B88" w:rsidRDefault="00B26B88" w:rsidP="00B26B88">
      <w:pPr>
        <w:spacing w:after="120"/>
        <w:ind w:right="565"/>
        <w:rPr>
          <w:b/>
        </w:rPr>
      </w:pPr>
      <w:r w:rsidRPr="00B26B88">
        <w:rPr>
          <w:b/>
        </w:rPr>
        <w:t>In person/ via email</w:t>
      </w:r>
    </w:p>
    <w:p w:rsidR="00B26B88" w:rsidRDefault="00B26B88" w:rsidP="00B26B88">
      <w:pPr>
        <w:spacing w:before="120" w:after="120"/>
      </w:pPr>
      <w:r>
        <w:t>L</w:t>
      </w:r>
      <w:r w:rsidRPr="00E0380A">
        <w:t xml:space="preserve">odge your financial statement of accounts you can email or deliver your documents to the Territory Business Centre. </w:t>
      </w:r>
    </w:p>
    <w:p w:rsidR="00B26B88" w:rsidRDefault="00B26B88" w:rsidP="00B26B88">
      <w:pPr>
        <w:spacing w:before="120" w:after="120"/>
        <w:rPr>
          <w:rStyle w:val="Hyperlink"/>
        </w:rPr>
      </w:pPr>
      <w:r w:rsidRPr="00DC298D">
        <w:t>Contact a Territory Bu</w:t>
      </w:r>
      <w:r w:rsidR="00DC298D">
        <w:t>siness Centre</w:t>
      </w:r>
      <w:r w:rsidR="00DC298D">
        <w:rPr>
          <w:rStyle w:val="FootnoteReference"/>
        </w:rPr>
        <w:footnoteReference w:id="3"/>
      </w:r>
      <w:r w:rsidR="00DC298D">
        <w:t>.</w:t>
      </w:r>
    </w:p>
    <w:p w:rsidR="00B26B88" w:rsidRDefault="00B26B88" w:rsidP="00B26B88">
      <w:pPr>
        <w:pStyle w:val="Heading1"/>
      </w:pPr>
      <w:r>
        <w:t>What to provide</w:t>
      </w:r>
    </w:p>
    <w:p w:rsidR="00B26B88" w:rsidRPr="002A2350" w:rsidRDefault="00B26B88" w:rsidP="00C7308F">
      <w:pPr>
        <w:pStyle w:val="ListParagraph"/>
        <w:numPr>
          <w:ilvl w:val="0"/>
          <w:numId w:val="14"/>
        </w:numPr>
        <w:spacing w:after="0"/>
        <w:ind w:left="709" w:hanging="425"/>
      </w:pPr>
      <w:r w:rsidRPr="002A2350">
        <w:t>AGM/SGM minutes - where the members approved the financials</w:t>
      </w:r>
    </w:p>
    <w:p w:rsidR="00B26B88" w:rsidRPr="002A2350" w:rsidRDefault="00B26B88" w:rsidP="00C7308F">
      <w:pPr>
        <w:pStyle w:val="ListParagraph"/>
        <w:numPr>
          <w:ilvl w:val="0"/>
          <w:numId w:val="14"/>
        </w:numPr>
        <w:spacing w:after="0"/>
        <w:ind w:left="709" w:hanging="425"/>
      </w:pPr>
      <w:r>
        <w:t>a</w:t>
      </w:r>
      <w:r w:rsidRPr="002A2350">
        <w:t>nnual return application form- (page 1 updates the associations contact details, page 2 provides lodgement details)</w:t>
      </w:r>
    </w:p>
    <w:p w:rsidR="00B26B88" w:rsidRPr="002A2350" w:rsidRDefault="00B26B88" w:rsidP="00C7308F">
      <w:pPr>
        <w:pStyle w:val="ListParagraph"/>
        <w:numPr>
          <w:ilvl w:val="0"/>
          <w:numId w:val="14"/>
        </w:numPr>
        <w:spacing w:after="0"/>
        <w:ind w:left="709" w:hanging="425"/>
      </w:pPr>
      <w:r>
        <w:t>f</w:t>
      </w:r>
      <w:r w:rsidRPr="002A2350">
        <w:t>inancial statement / annual return</w:t>
      </w:r>
    </w:p>
    <w:p w:rsidR="00B26B88" w:rsidRPr="002A2350" w:rsidRDefault="00B26B88" w:rsidP="00C7308F">
      <w:pPr>
        <w:pStyle w:val="ListParagraph"/>
        <w:numPr>
          <w:ilvl w:val="0"/>
          <w:numId w:val="14"/>
        </w:numPr>
        <w:spacing w:after="0"/>
        <w:ind w:left="709" w:hanging="425"/>
      </w:pPr>
      <w:r w:rsidRPr="002A2350">
        <w:t>Prescribed fee noting the following time frames:</w:t>
      </w:r>
    </w:p>
    <w:p w:rsidR="00B26B88" w:rsidRPr="002D3BD8" w:rsidRDefault="00B26B88" w:rsidP="00C7308F">
      <w:pPr>
        <w:pStyle w:val="ListParagraph"/>
        <w:numPr>
          <w:ilvl w:val="0"/>
          <w:numId w:val="13"/>
        </w:numPr>
        <w:ind w:left="1134" w:hanging="425"/>
        <w:rPr>
          <w:bCs/>
        </w:rPr>
      </w:pPr>
      <w:r w:rsidRPr="002D3BD8">
        <w:rPr>
          <w:bCs/>
        </w:rPr>
        <w:t xml:space="preserve">Supplied within 28 days of the AGM, where the AGM </w:t>
      </w:r>
      <w:proofErr w:type="gramStart"/>
      <w:r w:rsidRPr="002D3BD8">
        <w:rPr>
          <w:bCs/>
        </w:rPr>
        <w:t>is held</w:t>
      </w:r>
      <w:proofErr w:type="gramEnd"/>
      <w:r w:rsidRPr="002D3BD8">
        <w:rPr>
          <w:bCs/>
        </w:rPr>
        <w:t xml:space="preserve"> within 5 months of the EOFY</w:t>
      </w:r>
      <w:r>
        <w:rPr>
          <w:bCs/>
        </w:rPr>
        <w:t>.</w:t>
      </w:r>
    </w:p>
    <w:p w:rsidR="00B26B88" w:rsidRDefault="00B26B88" w:rsidP="00C7308F">
      <w:pPr>
        <w:pStyle w:val="ListParagraph"/>
        <w:numPr>
          <w:ilvl w:val="0"/>
          <w:numId w:val="13"/>
        </w:numPr>
        <w:spacing w:after="0"/>
        <w:rPr>
          <w:bCs/>
        </w:rPr>
      </w:pPr>
      <w:r w:rsidRPr="00B9102D">
        <w:rPr>
          <w:bCs/>
        </w:rPr>
        <w:t xml:space="preserve">Supplied more than 28 after AGM OR if AGM </w:t>
      </w:r>
      <w:proofErr w:type="gramStart"/>
      <w:r w:rsidRPr="00B9102D">
        <w:rPr>
          <w:bCs/>
        </w:rPr>
        <w:t>is held</w:t>
      </w:r>
      <w:proofErr w:type="gramEnd"/>
      <w:r w:rsidRPr="00B9102D">
        <w:rPr>
          <w:bCs/>
        </w:rPr>
        <w:t xml:space="preserve"> more than 5 months after</w:t>
      </w:r>
      <w:r>
        <w:rPr>
          <w:bCs/>
        </w:rPr>
        <w:t xml:space="preserve"> the EOFY (penalty fee applies).</w:t>
      </w:r>
    </w:p>
    <w:p w:rsidR="00DC298D" w:rsidRPr="00DE5D1E" w:rsidRDefault="00DC298D" w:rsidP="00DE5D1E">
      <w:pPr>
        <w:spacing w:after="0"/>
        <w:ind w:left="720"/>
        <w:rPr>
          <w:bCs/>
        </w:rPr>
      </w:pPr>
      <w:bookmarkStart w:id="0" w:name="_GoBack"/>
      <w:bookmarkEnd w:id="0"/>
    </w:p>
    <w:p w:rsidR="00DC298D" w:rsidRPr="00DC298D" w:rsidRDefault="00DC298D" w:rsidP="00DC298D">
      <w:pPr>
        <w:pStyle w:val="ListParagraph"/>
        <w:spacing w:after="0"/>
        <w:ind w:left="1080"/>
        <w:rPr>
          <w:bCs/>
        </w:rPr>
      </w:pPr>
    </w:p>
    <w:p w:rsidR="00B26B88" w:rsidRDefault="00B26B88" w:rsidP="00B26B88">
      <w:r>
        <w:t>*F</w:t>
      </w:r>
      <w:r w:rsidRPr="00B26B88">
        <w:t>ees subject to change 1 July.</w:t>
      </w:r>
    </w:p>
    <w:p w:rsidR="00B26B88" w:rsidRDefault="00B26B88" w:rsidP="00B26B88">
      <w:pPr>
        <w:pStyle w:val="Heading1"/>
      </w:pPr>
      <w:r>
        <w:lastRenderedPageBreak/>
        <w:t>Extensions</w:t>
      </w:r>
    </w:p>
    <w:p w:rsidR="00B26B88" w:rsidRPr="003B1F4F" w:rsidRDefault="00B26B88" w:rsidP="00B26B88">
      <w:r>
        <w:t>I</w:t>
      </w:r>
      <w:r w:rsidRPr="003B1F4F">
        <w:t xml:space="preserve">f you are not able to satisfy the required </w:t>
      </w:r>
      <w:proofErr w:type="gramStart"/>
      <w:r w:rsidRPr="003B1F4F">
        <w:t>time frames</w:t>
      </w:r>
      <w:proofErr w:type="gramEnd"/>
      <w:r w:rsidRPr="003B1F4F">
        <w:t xml:space="preserve"> please email </w:t>
      </w:r>
      <w:hyperlink r:id="rId9" w:history="1">
        <w:r w:rsidRPr="00BF470D">
          <w:rPr>
            <w:rStyle w:val="Hyperlink"/>
          </w:rPr>
          <w:t>associations.compliance@nt.gov.au</w:t>
        </w:r>
      </w:hyperlink>
      <w:r w:rsidRPr="003B1F4F">
        <w:t xml:space="preserve"> seeking an extension of time. You will be required to advise which association the request is for, the reasons why and the expected date you will be able to hold the AGM.</w:t>
      </w:r>
    </w:p>
    <w:p w:rsidR="00B26B88" w:rsidRDefault="00B26B88" w:rsidP="00B26B88"/>
    <w:p w:rsidR="00B26B88" w:rsidRPr="00B86169" w:rsidRDefault="00B26B88" w:rsidP="00B26B88">
      <w:pPr>
        <w:spacing w:after="120"/>
      </w:pPr>
      <w:r>
        <w:t xml:space="preserve">Education information, forms, fees and templates </w:t>
      </w:r>
      <w:proofErr w:type="gramStart"/>
      <w:r>
        <w:t>can be found</w:t>
      </w:r>
      <w:proofErr w:type="gramEnd"/>
      <w:r>
        <w:t xml:space="preserve"> on the Northern Territory Government website</w:t>
      </w:r>
      <w:r>
        <w:rPr>
          <w:rStyle w:val="FootnoteReference"/>
        </w:rPr>
        <w:footnoteReference w:id="4"/>
      </w:r>
      <w:r>
        <w:t>.</w:t>
      </w:r>
    </w:p>
    <w:p w:rsidR="00B26B88" w:rsidRPr="00B26B88" w:rsidRDefault="00B26B88" w:rsidP="00B26B88"/>
    <w:p w:rsidR="00B26B88" w:rsidRPr="00B26B88" w:rsidRDefault="00B26B88" w:rsidP="00B26B88"/>
    <w:p w:rsidR="00B26B88" w:rsidRPr="00B26B88" w:rsidRDefault="00B26B88" w:rsidP="00B26B88">
      <w:pPr>
        <w:rPr>
          <w:color w:val="1F1F5F" w:themeColor="text1"/>
        </w:rPr>
      </w:pPr>
    </w:p>
    <w:p w:rsidR="00B26B88" w:rsidRPr="00B26B88" w:rsidRDefault="00B26B88" w:rsidP="00B26B88"/>
    <w:p w:rsidR="00B26B88" w:rsidRPr="00B26B88" w:rsidRDefault="00B26B88" w:rsidP="00B26B88"/>
    <w:p w:rsidR="00B26B88" w:rsidRPr="00B26B88" w:rsidRDefault="00B26B88" w:rsidP="00B26B88"/>
    <w:p w:rsidR="00B26B88" w:rsidRDefault="00B26B88" w:rsidP="00B26B88"/>
    <w:p w:rsidR="00B26B88" w:rsidRPr="00B26B88" w:rsidRDefault="00B26B88" w:rsidP="00B26B88">
      <w:pPr>
        <w:rPr>
          <w:lang w:eastAsia="en-AU"/>
        </w:rPr>
      </w:pPr>
    </w:p>
    <w:sectPr w:rsidR="00B26B88" w:rsidRPr="00B26B88"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09" w:rsidRDefault="003F4409" w:rsidP="007332FF">
      <w:r>
        <w:separator/>
      </w:r>
    </w:p>
  </w:endnote>
  <w:endnote w:type="continuationSeparator" w:id="0">
    <w:p w:rsidR="003F4409" w:rsidRDefault="003F440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DC298D">
            <w:rPr>
              <w:rStyle w:val="PageNumber"/>
              <w:b/>
            </w:rPr>
            <w:t>INDUSTRY, TOURISM AND TRADE</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5D1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5D1E">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DC298D">
            <w:rPr>
              <w:rStyle w:val="PageNumber"/>
              <w:b/>
            </w:rPr>
            <w:t>INDUSTRY, TOURISM AND TRADE</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5D1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5D1E">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09" w:rsidRDefault="003F4409" w:rsidP="007332FF">
      <w:r>
        <w:separator/>
      </w:r>
    </w:p>
  </w:footnote>
  <w:footnote w:type="continuationSeparator" w:id="0">
    <w:p w:rsidR="003F4409" w:rsidRDefault="003F4409" w:rsidP="007332FF">
      <w:r>
        <w:continuationSeparator/>
      </w:r>
    </w:p>
  </w:footnote>
  <w:footnote w:id="1">
    <w:p w:rsidR="00EF3943" w:rsidRDefault="00EF3943">
      <w:pPr>
        <w:pStyle w:val="FootnoteText"/>
      </w:pPr>
      <w:r>
        <w:rPr>
          <w:rStyle w:val="FootnoteReference"/>
        </w:rPr>
        <w:footnoteRef/>
      </w:r>
      <w:r>
        <w:t xml:space="preserve"> </w:t>
      </w:r>
      <w:hyperlink r:id="rId1" w:history="1">
        <w:r w:rsidRPr="00BF470D">
          <w:rPr>
            <w:rStyle w:val="Hyperlink"/>
          </w:rPr>
          <w:t>https://licensingnt.nt.gov.au/PublicRegister/</w:t>
        </w:r>
      </w:hyperlink>
    </w:p>
  </w:footnote>
  <w:footnote w:id="2">
    <w:p w:rsidR="00B26B88" w:rsidRDefault="00B26B88">
      <w:pPr>
        <w:pStyle w:val="FootnoteText"/>
      </w:pPr>
      <w:r>
        <w:rPr>
          <w:rStyle w:val="FootnoteReference"/>
        </w:rPr>
        <w:footnoteRef/>
      </w:r>
      <w:r>
        <w:t xml:space="preserve"> </w:t>
      </w:r>
      <w:hyperlink r:id="rId2" w:history="1">
        <w:r w:rsidRPr="00BF470D">
          <w:rPr>
            <w:rStyle w:val="Hyperlink"/>
          </w:rPr>
          <w:t>https://nt.gov.au/industry/licences/licensing-nt-online</w:t>
        </w:r>
      </w:hyperlink>
    </w:p>
  </w:footnote>
  <w:footnote w:id="3">
    <w:p w:rsidR="00DC298D" w:rsidRDefault="00DC298D">
      <w:pPr>
        <w:pStyle w:val="FootnoteText"/>
      </w:pPr>
      <w:r>
        <w:rPr>
          <w:rStyle w:val="FootnoteReference"/>
        </w:rPr>
        <w:footnoteRef/>
      </w:r>
      <w:r>
        <w:t xml:space="preserve"> </w:t>
      </w:r>
      <w:hyperlink r:id="rId3" w:history="1">
        <w:r w:rsidRPr="00BF470D">
          <w:rPr>
            <w:rStyle w:val="Hyperlink"/>
          </w:rPr>
          <w:t>https://nt.gov.au/industry/business-support/contact-territory-business-centre</w:t>
        </w:r>
      </w:hyperlink>
    </w:p>
    <w:p w:rsidR="00DC298D" w:rsidRDefault="00DC298D">
      <w:pPr>
        <w:pStyle w:val="FootnoteText"/>
      </w:pPr>
    </w:p>
  </w:footnote>
  <w:footnote w:id="4">
    <w:p w:rsidR="00DC298D" w:rsidRDefault="00B26B88">
      <w:pPr>
        <w:pStyle w:val="FootnoteText"/>
      </w:pPr>
      <w:r>
        <w:rPr>
          <w:rStyle w:val="FootnoteReference"/>
        </w:rPr>
        <w:footnoteRef/>
      </w:r>
      <w:r>
        <w:t xml:space="preserve"> </w:t>
      </w:r>
      <w:hyperlink r:id="rId4" w:history="1">
        <w:r w:rsidR="00DC298D" w:rsidRPr="00BF470D">
          <w:rPr>
            <w:rStyle w:val="Hyperlink"/>
          </w:rPr>
          <w:t>https://nt.gov.au/associations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F440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26B88">
          <w:t>Incorporated associations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B26B88" w:rsidP="00435082">
        <w:pPr>
          <w:pStyle w:val="Title"/>
        </w:pPr>
        <w:r>
          <w:rPr>
            <w:rStyle w:val="TitleChar"/>
          </w:rPr>
          <w:t>Incorporated associations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757893"/>
    <w:multiLevelType w:val="hybridMultilevel"/>
    <w:tmpl w:val="E972407E"/>
    <w:lvl w:ilvl="0" w:tplc="A9B4C8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6260A9"/>
    <w:multiLevelType w:val="hybridMultilevel"/>
    <w:tmpl w:val="131A0B1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2F842529"/>
    <w:multiLevelType w:val="hybridMultilevel"/>
    <w:tmpl w:val="02327804"/>
    <w:lvl w:ilvl="0" w:tplc="0C09000B">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080"/>
        </w:tabs>
        <w:ind w:left="1080" w:hanging="360"/>
      </w:pPr>
    </w:lvl>
    <w:lvl w:ilvl="2" w:tplc="0C09000D">
      <w:start w:val="1"/>
      <w:numFmt w:val="bullet"/>
      <w:lvlText w:val=""/>
      <w:lvlJc w:val="left"/>
      <w:pPr>
        <w:tabs>
          <w:tab w:val="num" w:pos="1800"/>
        </w:tabs>
        <w:ind w:left="1800" w:hanging="360"/>
      </w:pPr>
      <w:rPr>
        <w:rFonts w:ascii="Wingdings" w:hAnsi="Wingdings" w:hint="default"/>
      </w:rPr>
    </w:lvl>
    <w:lvl w:ilvl="3" w:tplc="0C09000D">
      <w:start w:val="1"/>
      <w:numFmt w:val="bullet"/>
      <w:lvlText w:val=""/>
      <w:lvlJc w:val="left"/>
      <w:pPr>
        <w:tabs>
          <w:tab w:val="num" w:pos="1495"/>
        </w:tabs>
        <w:ind w:left="1495" w:hanging="360"/>
      </w:pPr>
      <w:rPr>
        <w:rFonts w:ascii="Wingdings" w:hAnsi="Wingdings"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DCC0C55"/>
    <w:multiLevelType w:val="hybridMultilevel"/>
    <w:tmpl w:val="5184C478"/>
    <w:lvl w:ilvl="0" w:tplc="0BF4F40E">
      <w:numFmt w:val="bullet"/>
      <w:lvlText w:val=""/>
      <w:lvlJc w:val="left"/>
      <w:pPr>
        <w:tabs>
          <w:tab w:val="num" w:pos="1080"/>
        </w:tabs>
        <w:ind w:left="1080" w:hanging="720"/>
      </w:pPr>
      <w:rPr>
        <w:rFonts w:ascii="Wingdings" w:eastAsia="Times New Roman" w:hAnsi="Wingdings" w:cs="Arial"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E18604C"/>
    <w:multiLevelType w:val="hybridMultilevel"/>
    <w:tmpl w:val="4234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1455DF"/>
    <w:multiLevelType w:val="hybridMultilevel"/>
    <w:tmpl w:val="03648B92"/>
    <w:lvl w:ilvl="0" w:tplc="0C09000D">
      <w:start w:val="1"/>
      <w:numFmt w:val="bullet"/>
      <w:lvlText w:val=""/>
      <w:lvlJc w:val="left"/>
      <w:pPr>
        <w:tabs>
          <w:tab w:val="num" w:pos="1854"/>
        </w:tabs>
        <w:ind w:left="1854" w:hanging="720"/>
      </w:pPr>
      <w:rPr>
        <w:rFonts w:ascii="Wingdings" w:hAnsi="Wingdings" w:hint="default"/>
        <w:sz w:val="24"/>
      </w:rPr>
    </w:lvl>
    <w:lvl w:ilvl="1" w:tplc="0C090003">
      <w:start w:val="1"/>
      <w:numFmt w:val="bullet"/>
      <w:lvlText w:val="o"/>
      <w:lvlJc w:val="left"/>
      <w:pPr>
        <w:tabs>
          <w:tab w:val="num" w:pos="2214"/>
        </w:tabs>
        <w:ind w:left="2214" w:hanging="360"/>
      </w:pPr>
      <w:rPr>
        <w:rFonts w:ascii="Courier New" w:hAnsi="Courier New" w:cs="Courier New" w:hint="default"/>
      </w:rPr>
    </w:lvl>
    <w:lvl w:ilvl="2" w:tplc="0C090005">
      <w:start w:val="1"/>
      <w:numFmt w:val="bullet"/>
      <w:lvlText w:val=""/>
      <w:lvlJc w:val="left"/>
      <w:pPr>
        <w:tabs>
          <w:tab w:val="num" w:pos="2934"/>
        </w:tabs>
        <w:ind w:left="2934" w:hanging="360"/>
      </w:pPr>
      <w:rPr>
        <w:rFonts w:ascii="Wingdings" w:hAnsi="Wingdings" w:hint="default"/>
      </w:rPr>
    </w:lvl>
    <w:lvl w:ilvl="3" w:tplc="0C090001">
      <w:start w:val="1"/>
      <w:numFmt w:val="bullet"/>
      <w:lvlText w:val=""/>
      <w:lvlJc w:val="left"/>
      <w:pPr>
        <w:tabs>
          <w:tab w:val="num" w:pos="3654"/>
        </w:tabs>
        <w:ind w:left="3654" w:hanging="360"/>
      </w:pPr>
      <w:rPr>
        <w:rFonts w:ascii="Symbol" w:hAnsi="Symbol" w:hint="default"/>
      </w:rPr>
    </w:lvl>
    <w:lvl w:ilvl="4" w:tplc="0C090003">
      <w:start w:val="1"/>
      <w:numFmt w:val="bullet"/>
      <w:lvlText w:val="o"/>
      <w:lvlJc w:val="left"/>
      <w:pPr>
        <w:tabs>
          <w:tab w:val="num" w:pos="4374"/>
        </w:tabs>
        <w:ind w:left="4374" w:hanging="360"/>
      </w:pPr>
      <w:rPr>
        <w:rFonts w:ascii="Courier New" w:hAnsi="Courier New" w:cs="Courier New" w:hint="default"/>
      </w:rPr>
    </w:lvl>
    <w:lvl w:ilvl="5" w:tplc="0C090005">
      <w:start w:val="1"/>
      <w:numFmt w:val="bullet"/>
      <w:lvlText w:val=""/>
      <w:lvlJc w:val="left"/>
      <w:pPr>
        <w:tabs>
          <w:tab w:val="num" w:pos="5094"/>
        </w:tabs>
        <w:ind w:left="5094" w:hanging="360"/>
      </w:pPr>
      <w:rPr>
        <w:rFonts w:ascii="Wingdings" w:hAnsi="Wingdings" w:hint="default"/>
      </w:rPr>
    </w:lvl>
    <w:lvl w:ilvl="6" w:tplc="0C090001">
      <w:start w:val="1"/>
      <w:numFmt w:val="bullet"/>
      <w:lvlText w:val=""/>
      <w:lvlJc w:val="left"/>
      <w:pPr>
        <w:tabs>
          <w:tab w:val="num" w:pos="5814"/>
        </w:tabs>
        <w:ind w:left="5814" w:hanging="360"/>
      </w:pPr>
      <w:rPr>
        <w:rFonts w:ascii="Symbol" w:hAnsi="Symbol" w:hint="default"/>
      </w:rPr>
    </w:lvl>
    <w:lvl w:ilvl="7" w:tplc="0C090003">
      <w:start w:val="1"/>
      <w:numFmt w:val="bullet"/>
      <w:lvlText w:val="o"/>
      <w:lvlJc w:val="left"/>
      <w:pPr>
        <w:tabs>
          <w:tab w:val="num" w:pos="6534"/>
        </w:tabs>
        <w:ind w:left="6534" w:hanging="360"/>
      </w:pPr>
      <w:rPr>
        <w:rFonts w:ascii="Courier New" w:hAnsi="Courier New" w:cs="Courier New" w:hint="default"/>
      </w:rPr>
    </w:lvl>
    <w:lvl w:ilvl="8" w:tplc="0C090005">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9"/>
  </w:num>
  <w:num w:numId="4">
    <w:abstractNumId w:val="26"/>
  </w:num>
  <w:num w:numId="5">
    <w:abstractNumId w:val="17"/>
  </w:num>
  <w:num w:numId="6">
    <w:abstractNumId w:val="9"/>
  </w:num>
  <w:num w:numId="7">
    <w:abstractNumId w:val="28"/>
  </w:num>
  <w:num w:numId="8">
    <w:abstractNumId w:val="16"/>
  </w:num>
  <w:num w:numId="9">
    <w:abstractNumId w:val="35"/>
  </w:num>
  <w:num w:numId="10">
    <w:abstractNumId w:val="24"/>
  </w:num>
  <w:num w:numId="11">
    <w:abstractNumId w:val="20"/>
    <w:lvlOverride w:ilvl="0"/>
    <w:lvlOverride w:ilvl="1">
      <w:startOverride w:val="1"/>
    </w:lvlOverride>
    <w:lvlOverride w:ilvl="2"/>
    <w:lvlOverride w:ilvl="3"/>
    <w:lvlOverride w:ilvl="4"/>
    <w:lvlOverride w:ilvl="5"/>
    <w:lvlOverride w:ilvl="6"/>
    <w:lvlOverride w:ilvl="7"/>
    <w:lvlOverride w:ilvl="8"/>
  </w:num>
  <w:num w:numId="12">
    <w:abstractNumId w:val="38"/>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8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4409"/>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6B88"/>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308F"/>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298D"/>
    <w:rsid w:val="00DC3117"/>
    <w:rsid w:val="00DC4E2A"/>
    <w:rsid w:val="00DC5DD9"/>
    <w:rsid w:val="00DC6D2D"/>
    <w:rsid w:val="00DD4E59"/>
    <w:rsid w:val="00DE33B5"/>
    <w:rsid w:val="00DE5D1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943"/>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9249E"/>
  <w15:docId w15:val="{45A84728-A2E4-433D-9A37-F7E69EF1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styleId="FollowedHyperlink">
    <w:name w:val="FollowedHyperlink"/>
    <w:basedOn w:val="DefaultParagraphFont"/>
    <w:uiPriority w:val="99"/>
    <w:semiHidden/>
    <w:unhideWhenUsed/>
    <w:rsid w:val="00B26B8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sociations.complianc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nt.gov.au/industry/business-support/contact-territory-business-centre" TargetMode="External"/><Relationship Id="rId2" Type="http://schemas.openxmlformats.org/officeDocument/2006/relationships/hyperlink" Target="https://nt.gov.au/industry/licences/licensing-nt-online" TargetMode="External"/><Relationship Id="rId1" Type="http://schemas.openxmlformats.org/officeDocument/2006/relationships/hyperlink" Target="https://licensingnt.nt.gov.au/PublicRegister/" TargetMode="External"/><Relationship Id="rId4" Type="http://schemas.openxmlformats.org/officeDocument/2006/relationships/hyperlink" Target="https://nt.gov.au/associ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0D867-9494-41AB-8BEF-3B78A853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Incorporated associations</vt:lpstr>
    </vt:vector>
  </TitlesOfParts>
  <Company>&lt;NAME&gt;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Incorporated associations</dc:title>
  <dc:creator>Northern Territory Government</dc:creator>
  <cp:lastModifiedBy>Nicola Kalmar</cp:lastModifiedBy>
  <cp:revision>2</cp:revision>
  <cp:lastPrinted>2019-07-29T01:45:00Z</cp:lastPrinted>
  <dcterms:created xsi:type="dcterms:W3CDTF">2023-03-21T00:54:00Z</dcterms:created>
  <dcterms:modified xsi:type="dcterms:W3CDTF">2023-03-21T00:54:00Z</dcterms:modified>
</cp:coreProperties>
</file>