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848" w:rsidRPr="007772B4" w:rsidRDefault="00383848" w:rsidP="00383848">
      <w:pPr>
        <w:spacing w:line="240" w:lineRule="auto"/>
        <w:rPr>
          <w:rFonts w:cstheme="minorHAnsi"/>
        </w:rPr>
      </w:pPr>
      <w:r>
        <w:rPr>
          <w:rFonts w:cstheme="minorHAnsi"/>
        </w:rPr>
        <w:t>2 January 2019</w:t>
      </w:r>
    </w:p>
    <w:p w:rsidR="00383848" w:rsidRPr="007772B4" w:rsidRDefault="00383848" w:rsidP="00383848">
      <w:pPr>
        <w:pStyle w:val="BoswellMediaHeader"/>
        <w:jc w:val="left"/>
        <w:rPr>
          <w:rFonts w:asciiTheme="minorHAnsi" w:hAnsiTheme="minorHAnsi" w:cstheme="minorHAnsi"/>
          <w:noProof w:val="0"/>
          <w:sz w:val="22"/>
          <w:szCs w:val="22"/>
        </w:rPr>
      </w:pPr>
    </w:p>
    <w:p w:rsidR="00B81CB7" w:rsidRDefault="00B81CB7" w:rsidP="00B81CB7">
      <w:pPr>
        <w:pStyle w:val="BoswellMediaHeader"/>
        <w:jc w:val="center"/>
        <w:rPr>
          <w:rFonts w:ascii="Garamond" w:hAnsi="Garamond"/>
          <w:b/>
          <w:bCs/>
          <w:sz w:val="24"/>
          <w:szCs w:val="24"/>
        </w:rPr>
      </w:pPr>
      <w:r>
        <w:rPr>
          <w:rFonts w:ascii="Garamond" w:hAnsi="Garamond"/>
          <w:b/>
          <w:bCs/>
          <w:sz w:val="24"/>
          <w:szCs w:val="24"/>
        </w:rPr>
        <w:t>BOOSTING OUR POPULATION: NEW FIVE YEAR NT MIGRATION AGREEMENT BEGINS</w:t>
      </w:r>
    </w:p>
    <w:p w:rsidR="00B81CB7" w:rsidRDefault="00B81CB7" w:rsidP="00B81CB7">
      <w:pPr>
        <w:pStyle w:val="BoswellMediaHeader"/>
        <w:jc w:val="left"/>
        <w:rPr>
          <w:rFonts w:ascii="Calibri" w:hAnsi="Calibri"/>
          <w:sz w:val="22"/>
          <w:szCs w:val="22"/>
        </w:rPr>
      </w:pPr>
      <w:r>
        <w:rPr>
          <w:rFonts w:ascii="Calibri" w:hAnsi="Calibri"/>
          <w:sz w:val="22"/>
          <w:szCs w:val="22"/>
        </w:rPr>
        <w:t xml:space="preserve">                                                                                                                                   </w:t>
      </w:r>
    </w:p>
    <w:p w:rsidR="00B81CB7" w:rsidRDefault="00B81CB7" w:rsidP="00B81CB7">
      <w:pPr>
        <w:spacing w:line="240" w:lineRule="auto"/>
        <w:rPr>
          <w:rFonts w:ascii="Calibri" w:hAnsi="Calibri"/>
        </w:rPr>
      </w:pPr>
      <w:r>
        <w:t>An additional 3</w:t>
      </w:r>
      <w:r w:rsidR="00A01F0E">
        <w:t>6</w:t>
      </w:r>
      <w:bookmarkStart w:id="0" w:name="_GoBack"/>
      <w:bookmarkEnd w:id="0"/>
      <w:r>
        <w:t xml:space="preserve"> occupations are now available to overseas nationals in the Northern Territory, after a new bilateral migration agreement took effect yesterday.</w:t>
      </w:r>
    </w:p>
    <w:p w:rsidR="00B81CB7" w:rsidRDefault="00B81CB7" w:rsidP="00B81CB7">
      <w:pPr>
        <w:spacing w:line="240" w:lineRule="auto"/>
      </w:pPr>
      <w:r>
        <w:t>The second Designated Area Migration Agreement (DAMA II) between the NT Government and the Federal Government identifies 117 shortage occupations where employers can recruit skilled migrants if they are unable to fill positions locally.</w:t>
      </w:r>
    </w:p>
    <w:p w:rsidR="00B81CB7" w:rsidRDefault="00B81CB7" w:rsidP="00B81CB7">
      <w:pPr>
        <w:spacing w:line="240" w:lineRule="auto"/>
      </w:pPr>
      <w:r>
        <w:t xml:space="preserve">Unlike the first </w:t>
      </w:r>
      <w:proofErr w:type="spellStart"/>
      <w:r>
        <w:t>groundbreaking</w:t>
      </w:r>
      <w:proofErr w:type="spellEnd"/>
      <w:r>
        <w:t xml:space="preserve"> agreement between the two jurisdictions, DAMA II visa holders can now apply for permanent residency after working in the Territory for at least three years.</w:t>
      </w:r>
    </w:p>
    <w:p w:rsidR="00B81CB7" w:rsidRDefault="00B81CB7" w:rsidP="00B81CB7">
      <w:pPr>
        <w:spacing w:line="240" w:lineRule="auto"/>
      </w:pPr>
      <w:r>
        <w:t>NT Chief Minister Michael Gunner said the addition of the pathway to permanent residency in DAMA II gave skilled migrants a big incentive to move to the NT and stay long-term.</w:t>
      </w:r>
    </w:p>
    <w:p w:rsidR="00B81CB7" w:rsidRDefault="00B81CB7" w:rsidP="00B81CB7">
      <w:pPr>
        <w:spacing w:line="240" w:lineRule="auto"/>
      </w:pPr>
      <w:r>
        <w:t xml:space="preserve">“The Territory </w:t>
      </w:r>
      <w:proofErr w:type="spellStart"/>
      <w:r>
        <w:t>Labor</w:t>
      </w:r>
      <w:proofErr w:type="spellEnd"/>
      <w:r>
        <w:t xml:space="preserve"> Government’s number one priority is jobs for Territorians but we know access to, and retention of, a suitably skilled workforce is a key issue for many employers and there is a need for additional workers, Mr Gunner said.</w:t>
      </w:r>
    </w:p>
    <w:p w:rsidR="00B81CB7" w:rsidRDefault="00B81CB7" w:rsidP="00B81CB7">
      <w:pPr>
        <w:spacing w:line="240" w:lineRule="auto"/>
      </w:pPr>
      <w:r>
        <w:t>“We also know that more people moving to the Territory equals more jobs.</w:t>
      </w:r>
    </w:p>
    <w:p w:rsidR="00B81CB7" w:rsidRDefault="00B81CB7" w:rsidP="00B81CB7">
      <w:pPr>
        <w:spacing w:line="240" w:lineRule="auto"/>
      </w:pPr>
      <w:r>
        <w:t xml:space="preserve">“The Territory </w:t>
      </w:r>
      <w:proofErr w:type="spellStart"/>
      <w:r>
        <w:t>Labor</w:t>
      </w:r>
      <w:proofErr w:type="spellEnd"/>
      <w:r>
        <w:t xml:space="preserve"> Government fought hard for the inclusion of the pathway to permanent residency in this new five year agreement, which we expect to significantly increase the number of skilled migrants moving to the Territory.</w:t>
      </w:r>
    </w:p>
    <w:p w:rsidR="00B81CB7" w:rsidRDefault="00B81CB7" w:rsidP="00B81CB7">
      <w:pPr>
        <w:spacing w:line="240" w:lineRule="auto"/>
      </w:pPr>
      <w:r>
        <w:t>“The NT has a long and proud history of migration of overseas nationals and they have been a key contributor to economic growth, population growth and social diversity. This new agreement will help that continue.”</w:t>
      </w:r>
    </w:p>
    <w:p w:rsidR="00B81CB7" w:rsidRDefault="00B81CB7" w:rsidP="00B81CB7">
      <w:pPr>
        <w:pStyle w:val="BodyText"/>
        <w:spacing w:before="0" w:after="0" w:line="240" w:lineRule="auto"/>
        <w:rPr>
          <w:sz w:val="22"/>
          <w:szCs w:val="22"/>
          <w:lang w:eastAsia="en-US"/>
        </w:rPr>
      </w:pPr>
      <w:r>
        <w:rPr>
          <w:sz w:val="22"/>
          <w:szCs w:val="22"/>
          <w:lang w:eastAsia="en-US"/>
        </w:rPr>
        <w:t xml:space="preserve">Federal Minister for Immigration, Citizenship and Multicultural Affairs David Coleman said DAMA II is an example of the Government using Australia’s migration program to benefit specific locations. </w:t>
      </w:r>
    </w:p>
    <w:p w:rsidR="00B81CB7" w:rsidRDefault="00B81CB7" w:rsidP="00B81CB7">
      <w:pPr>
        <w:spacing w:before="240" w:after="240" w:line="240" w:lineRule="auto"/>
      </w:pPr>
      <w:r>
        <w:t xml:space="preserve">“The Government is working to improve our immigration program to better match the needs of our states, territories and regional areas,” Mr Coleman said. </w:t>
      </w:r>
    </w:p>
    <w:p w:rsidR="00B81CB7" w:rsidRDefault="00B81CB7" w:rsidP="00B81CB7">
      <w:r>
        <w:t>“Our first priority is always to fill jobs with Australians, but the immigration system can play an important role in helping to address regional skills gaps.</w:t>
      </w:r>
    </w:p>
    <w:p w:rsidR="00B81CB7" w:rsidRDefault="00B81CB7" w:rsidP="00B81CB7">
      <w:pPr>
        <w:spacing w:before="240" w:after="240" w:line="240" w:lineRule="auto"/>
      </w:pPr>
      <w:r>
        <w:t>“The NT has seen first-hand the benefits of using a DAMA to respond to their unique workforce shortages.</w:t>
      </w:r>
    </w:p>
    <w:p w:rsidR="00B81CB7" w:rsidRDefault="00B81CB7" w:rsidP="00B81CB7">
      <w:pPr>
        <w:spacing w:before="240" w:after="240" w:line="240" w:lineRule="auto"/>
      </w:pPr>
      <w:r>
        <w:lastRenderedPageBreak/>
        <w:t>“I am pleased that we can continue to partner with the NT Government to support the skills needs of local businesses where Australian workers are not available to fill those jobs.”</w:t>
      </w:r>
    </w:p>
    <w:p w:rsidR="00B81CB7" w:rsidRDefault="00B81CB7" w:rsidP="00B81CB7">
      <w:r>
        <w:t xml:space="preserve">Under DAMA II, employers must seek to hire Australian workers through conducting labour market testing before any overseas workers can be recruited.  </w:t>
      </w:r>
    </w:p>
    <w:p w:rsidR="00B81CB7" w:rsidRDefault="00B81CB7" w:rsidP="00B81CB7">
      <w:pPr>
        <w:spacing w:line="240" w:lineRule="auto"/>
      </w:pPr>
      <w:r>
        <w:t xml:space="preserve">Mr Gunner said the new agreement complements the Territory </w:t>
      </w:r>
      <w:proofErr w:type="spellStart"/>
      <w:r>
        <w:t>Labor</w:t>
      </w:r>
      <w:proofErr w:type="spellEnd"/>
      <w:r>
        <w:t xml:space="preserve"> Government’s recently released population strategy, a comprehensive plan to attract people to live and work in the NT.</w:t>
      </w:r>
    </w:p>
    <w:p w:rsidR="00B81CB7" w:rsidRDefault="00B81CB7" w:rsidP="00B81CB7">
      <w:pPr>
        <w:spacing w:line="240" w:lineRule="auto"/>
      </w:pPr>
      <w:r>
        <w:t>“Every Territorian benefits when we attract more people to the Territory,” Mr Gunner said.</w:t>
      </w:r>
    </w:p>
    <w:p w:rsidR="00B81CB7" w:rsidRDefault="00B81CB7" w:rsidP="00B81CB7">
      <w:pPr>
        <w:spacing w:line="240" w:lineRule="auto"/>
      </w:pPr>
      <w:r>
        <w:t>“More people means more jobs and a stronger economy, which means better schools, better hospitals and more police.”</w:t>
      </w:r>
    </w:p>
    <w:p w:rsidR="00B81CB7" w:rsidRDefault="00B81CB7" w:rsidP="00B81CB7">
      <w:pPr>
        <w:spacing w:line="240" w:lineRule="auto"/>
      </w:pPr>
      <w:r>
        <w:t>The first DAMA between the Federal and NT Governments was the first in Australia where a broader range of shortage occupations was available than those identified in standard skilled migration programs.</w:t>
      </w:r>
    </w:p>
    <w:p w:rsidR="00B81CB7" w:rsidRDefault="00B81CB7" w:rsidP="00B81CB7">
      <w:pPr>
        <w:spacing w:line="240" w:lineRule="auto"/>
      </w:pPr>
    </w:p>
    <w:p w:rsidR="00B81CB7" w:rsidRDefault="00B81CB7" w:rsidP="00B81CB7">
      <w:pPr>
        <w:pStyle w:val="BodyText"/>
        <w:spacing w:line="240" w:lineRule="auto"/>
        <w:rPr>
          <w:b/>
          <w:bCs/>
          <w:sz w:val="22"/>
          <w:szCs w:val="22"/>
        </w:rPr>
      </w:pPr>
    </w:p>
    <w:p w:rsidR="00B81CB7" w:rsidRDefault="00B81CB7" w:rsidP="00B81CB7">
      <w:pPr>
        <w:pStyle w:val="BodyText"/>
        <w:spacing w:line="240" w:lineRule="auto"/>
        <w:rPr>
          <w:szCs w:val="20"/>
        </w:rPr>
      </w:pPr>
      <w:r>
        <w:rPr>
          <w:b/>
          <w:bCs/>
          <w:sz w:val="22"/>
          <w:szCs w:val="22"/>
        </w:rPr>
        <w:t>Media Contacts</w:t>
      </w:r>
      <w:r>
        <w:rPr>
          <w:sz w:val="22"/>
          <w:szCs w:val="22"/>
        </w:rPr>
        <w:t xml:space="preserve">:              </w:t>
      </w:r>
      <w:r>
        <w:rPr>
          <w:i/>
          <w:iCs/>
          <w:sz w:val="22"/>
          <w:szCs w:val="22"/>
        </w:rPr>
        <w:t xml:space="preserve">Mr Gunner                          </w:t>
      </w:r>
      <w:r>
        <w:rPr>
          <w:sz w:val="22"/>
          <w:szCs w:val="22"/>
        </w:rPr>
        <w:t>Kim Stephens 0417 683 144</w:t>
      </w:r>
    </w:p>
    <w:p w:rsidR="0002723A" w:rsidRPr="00B81CB7" w:rsidRDefault="00B81CB7" w:rsidP="00B81CB7">
      <w:pPr>
        <w:pStyle w:val="BodyText"/>
        <w:spacing w:line="240" w:lineRule="auto"/>
        <w:ind w:left="1440" w:firstLine="720"/>
        <w:rPr>
          <w:sz w:val="22"/>
          <w:szCs w:val="22"/>
        </w:rPr>
      </w:pPr>
      <w:r>
        <w:rPr>
          <w:i/>
          <w:iCs/>
          <w:sz w:val="22"/>
          <w:szCs w:val="22"/>
        </w:rPr>
        <w:t>Mr Coleman</w:t>
      </w:r>
      <w:r>
        <w:rPr>
          <w:sz w:val="22"/>
          <w:szCs w:val="22"/>
        </w:rPr>
        <w:t xml:space="preserve">                       Whitney Harris 0466 462 511</w:t>
      </w:r>
    </w:p>
    <w:sectPr w:rsidR="0002723A" w:rsidRPr="00B81CB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23A" w:rsidRDefault="0002723A" w:rsidP="00383848">
      <w:pPr>
        <w:spacing w:after="0" w:line="240" w:lineRule="auto"/>
      </w:pPr>
      <w:r>
        <w:separator/>
      </w:r>
    </w:p>
  </w:endnote>
  <w:endnote w:type="continuationSeparator" w:id="0">
    <w:p w:rsidR="0002723A" w:rsidRDefault="0002723A" w:rsidP="00383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23A" w:rsidRDefault="0002723A" w:rsidP="00383848">
      <w:pPr>
        <w:spacing w:after="0" w:line="240" w:lineRule="auto"/>
      </w:pPr>
      <w:r>
        <w:separator/>
      </w:r>
    </w:p>
  </w:footnote>
  <w:footnote w:type="continuationSeparator" w:id="0">
    <w:p w:rsidR="0002723A" w:rsidRDefault="0002723A" w:rsidP="00383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689"/>
    </w:tblGrid>
    <w:tr w:rsidR="0002723A" w:rsidTr="0002723A">
      <w:trPr>
        <w:trHeight w:val="2358"/>
      </w:trPr>
      <w:tc>
        <w:tcPr>
          <w:tcW w:w="4539" w:type="dxa"/>
        </w:tcPr>
        <w:p w:rsidR="0002723A" w:rsidRPr="001C040E" w:rsidRDefault="0002723A" w:rsidP="0002723A">
          <w:pPr>
            <w:numPr>
              <w:ilvl w:val="0"/>
              <w:numId w:val="0"/>
            </w:numPr>
            <w:tabs>
              <w:tab w:val="center" w:pos="4153"/>
              <w:tab w:val="right" w:pos="8306"/>
            </w:tabs>
            <w:overflowPunct w:val="0"/>
            <w:autoSpaceDE w:val="0"/>
            <w:autoSpaceDN w:val="0"/>
            <w:adjustRightInd w:val="0"/>
            <w:jc w:val="both"/>
            <w:textAlignment w:val="baseline"/>
            <w:rPr>
              <w:rFonts w:ascii="Garamond" w:hAnsi="Garamond"/>
              <w:b/>
              <w:spacing w:val="50"/>
              <w:sz w:val="22"/>
              <w:szCs w:val="22"/>
            </w:rPr>
          </w:pPr>
          <w:r w:rsidRPr="001C040E">
            <w:rPr>
              <w:rFonts w:ascii="Garamond" w:hAnsi="Garamond"/>
              <w:b/>
              <w:noProof/>
              <w:spacing w:val="50"/>
            </w:rPr>
            <w:drawing>
              <wp:inline distT="0" distB="0" distL="0" distR="0" wp14:anchorId="0BF9F491" wp14:editId="0F281BE5">
                <wp:extent cx="906780" cy="655320"/>
                <wp:effectExtent l="19050" t="0" r="7620" b="0"/>
                <wp:docPr id="1" name="Picture 1" descr="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551633" name="Picture 1" descr="CoA"/>
                        <pic:cNvPicPr>
                          <a:picLocks noChangeAspect="1" noChangeArrowheads="1"/>
                        </pic:cNvPicPr>
                      </pic:nvPicPr>
                      <pic:blipFill>
                        <a:blip r:embed="rId1"/>
                        <a:stretch>
                          <a:fillRect/>
                        </a:stretch>
                      </pic:blipFill>
                      <pic:spPr bwMode="auto">
                        <a:xfrm>
                          <a:off x="0" y="0"/>
                          <a:ext cx="906780" cy="655320"/>
                        </a:xfrm>
                        <a:prstGeom prst="rect">
                          <a:avLst/>
                        </a:prstGeom>
                        <a:noFill/>
                        <a:ln w="9525">
                          <a:noFill/>
                          <a:miter lim="800000"/>
                          <a:headEnd/>
                          <a:tailEnd/>
                        </a:ln>
                      </pic:spPr>
                    </pic:pic>
                  </a:graphicData>
                </a:graphic>
              </wp:inline>
            </w:drawing>
          </w:r>
        </w:p>
        <w:p w:rsidR="0002723A" w:rsidRPr="001C040E" w:rsidRDefault="0002723A" w:rsidP="0002723A">
          <w:pPr>
            <w:numPr>
              <w:ilvl w:val="0"/>
              <w:numId w:val="0"/>
            </w:numPr>
            <w:tabs>
              <w:tab w:val="center" w:pos="4153"/>
              <w:tab w:val="right" w:pos="8306"/>
            </w:tabs>
            <w:overflowPunct w:val="0"/>
            <w:autoSpaceDE w:val="0"/>
            <w:autoSpaceDN w:val="0"/>
            <w:adjustRightInd w:val="0"/>
            <w:spacing w:before="120"/>
            <w:jc w:val="both"/>
            <w:textAlignment w:val="baseline"/>
            <w:rPr>
              <w:rFonts w:ascii="Garamond" w:hAnsi="Garamond"/>
              <w:b/>
              <w:sz w:val="28"/>
              <w:szCs w:val="28"/>
            </w:rPr>
          </w:pPr>
          <w:r w:rsidRPr="001C040E">
            <w:rPr>
              <w:rFonts w:ascii="Garamond" w:hAnsi="Garamond"/>
              <w:b/>
              <w:sz w:val="28"/>
              <w:szCs w:val="28"/>
            </w:rPr>
            <w:t xml:space="preserve">The Hon </w:t>
          </w:r>
          <w:r>
            <w:rPr>
              <w:rFonts w:ascii="Garamond" w:hAnsi="Garamond"/>
              <w:b/>
              <w:sz w:val="28"/>
              <w:szCs w:val="28"/>
            </w:rPr>
            <w:t>David Coleman</w:t>
          </w:r>
          <w:r w:rsidRPr="001C040E">
            <w:rPr>
              <w:rFonts w:ascii="Garamond" w:hAnsi="Garamond"/>
              <w:b/>
              <w:sz w:val="28"/>
              <w:szCs w:val="28"/>
            </w:rPr>
            <w:t xml:space="preserve"> MP</w:t>
          </w:r>
        </w:p>
        <w:p w:rsidR="0002723A" w:rsidRPr="00B656EC" w:rsidRDefault="0002723A" w:rsidP="0002723A">
          <w:pPr>
            <w:numPr>
              <w:ilvl w:val="0"/>
              <w:numId w:val="0"/>
            </w:numPr>
            <w:tabs>
              <w:tab w:val="center" w:pos="4153"/>
              <w:tab w:val="right" w:pos="8306"/>
            </w:tabs>
            <w:overflowPunct w:val="0"/>
            <w:autoSpaceDE w:val="0"/>
            <w:autoSpaceDN w:val="0"/>
            <w:adjustRightInd w:val="0"/>
            <w:spacing w:after="40"/>
            <w:jc w:val="both"/>
            <w:textAlignment w:val="baseline"/>
            <w:rPr>
              <w:sz w:val="22"/>
              <w:szCs w:val="22"/>
            </w:rPr>
          </w:pPr>
          <w:r w:rsidRPr="00B656EC">
            <w:rPr>
              <w:rFonts w:ascii="Garamond" w:hAnsi="Garamond"/>
              <w:sz w:val="22"/>
              <w:szCs w:val="22"/>
            </w:rPr>
            <w:t xml:space="preserve">Minister </w:t>
          </w:r>
          <w:r>
            <w:rPr>
              <w:rFonts w:ascii="Garamond" w:hAnsi="Garamond"/>
              <w:sz w:val="22"/>
              <w:szCs w:val="22"/>
            </w:rPr>
            <w:t>for Immigration, Citizenship and Multicultural Affairs</w:t>
          </w:r>
        </w:p>
        <w:p w:rsidR="0002723A" w:rsidRPr="00935B56" w:rsidRDefault="0002723A" w:rsidP="00383848">
          <w:pPr>
            <w:pStyle w:val="Header-LPosition"/>
            <w:numPr>
              <w:ilvl w:val="0"/>
              <w:numId w:val="1"/>
            </w:numPr>
            <w:rPr>
              <w:rFonts w:ascii="Garamond" w:hAnsi="Garamond"/>
              <w:sz w:val="22"/>
              <w:szCs w:val="22"/>
            </w:rPr>
          </w:pPr>
        </w:p>
      </w:tc>
      <w:tc>
        <w:tcPr>
          <w:tcW w:w="4689" w:type="dxa"/>
        </w:tcPr>
        <w:p w:rsidR="0002723A" w:rsidRPr="0096793C" w:rsidRDefault="0002723A" w:rsidP="0002723A">
          <w:pPr>
            <w:numPr>
              <w:ilvl w:val="0"/>
              <w:numId w:val="0"/>
            </w:numPr>
            <w:tabs>
              <w:tab w:val="center" w:pos="4153"/>
              <w:tab w:val="right" w:pos="8306"/>
            </w:tabs>
            <w:overflowPunct w:val="0"/>
            <w:autoSpaceDE w:val="0"/>
            <w:autoSpaceDN w:val="0"/>
            <w:adjustRightInd w:val="0"/>
            <w:jc w:val="right"/>
            <w:textAlignment w:val="baseline"/>
            <w:rPr>
              <w:rFonts w:ascii="Garamond" w:hAnsi="Garamond"/>
              <w:b/>
              <w:spacing w:val="50"/>
              <w:sz w:val="22"/>
              <w:szCs w:val="22"/>
            </w:rPr>
          </w:pPr>
          <w:r w:rsidRPr="0000086C">
            <w:rPr>
              <w:noProof/>
            </w:rPr>
            <w:drawing>
              <wp:inline distT="0" distB="0" distL="0" distR="0" wp14:anchorId="10C2E308" wp14:editId="1F8C5E49">
                <wp:extent cx="803077" cy="676275"/>
                <wp:effectExtent l="0" t="0" r="0" b="0"/>
                <wp:docPr id="7" name="Picture 7" descr="Coat of arms" title="Northern Territory (Australia)">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ern Territory (Australia), coat of arm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7208" cy="696596"/>
                        </a:xfrm>
                        <a:prstGeom prst="rect">
                          <a:avLst/>
                        </a:prstGeom>
                        <a:noFill/>
                        <a:ln>
                          <a:noFill/>
                        </a:ln>
                      </pic:spPr>
                    </pic:pic>
                  </a:graphicData>
                </a:graphic>
              </wp:inline>
            </w:drawing>
          </w:r>
          <w:r w:rsidRPr="0096793C">
            <w:rPr>
              <w:rFonts w:ascii="Garamond" w:hAnsi="Garamond"/>
              <w:b/>
              <w:sz w:val="28"/>
              <w:szCs w:val="28"/>
            </w:rPr>
            <w:t xml:space="preserve"> </w:t>
          </w:r>
        </w:p>
        <w:p w:rsidR="0002723A" w:rsidRPr="0022255D" w:rsidRDefault="0002723A" w:rsidP="00383848">
          <w:pPr>
            <w:numPr>
              <w:ilvl w:val="0"/>
              <w:numId w:val="1"/>
            </w:numPr>
            <w:tabs>
              <w:tab w:val="num" w:pos="360"/>
              <w:tab w:val="center" w:pos="4153"/>
              <w:tab w:val="right" w:pos="8306"/>
            </w:tabs>
            <w:overflowPunct w:val="0"/>
            <w:autoSpaceDE w:val="0"/>
            <w:autoSpaceDN w:val="0"/>
            <w:adjustRightInd w:val="0"/>
            <w:spacing w:before="120"/>
            <w:ind w:left="360" w:hanging="360"/>
            <w:jc w:val="right"/>
            <w:textAlignment w:val="baseline"/>
            <w:rPr>
              <w:rFonts w:ascii="Garamond" w:hAnsi="Garamond"/>
              <w:b/>
              <w:sz w:val="28"/>
              <w:szCs w:val="28"/>
            </w:rPr>
          </w:pPr>
          <w:r>
            <w:rPr>
              <w:rFonts w:ascii="Garamond" w:hAnsi="Garamond"/>
              <w:b/>
              <w:sz w:val="28"/>
              <w:szCs w:val="28"/>
            </w:rPr>
            <w:t>The Hon Michael Gunner MLA</w:t>
          </w:r>
        </w:p>
        <w:p w:rsidR="0002723A" w:rsidRDefault="0002723A" w:rsidP="0002723A">
          <w:pPr>
            <w:numPr>
              <w:ilvl w:val="0"/>
              <w:numId w:val="0"/>
            </w:numPr>
            <w:tabs>
              <w:tab w:val="center" w:pos="4153"/>
              <w:tab w:val="right" w:pos="8306"/>
            </w:tabs>
            <w:overflowPunct w:val="0"/>
            <w:autoSpaceDE w:val="0"/>
            <w:autoSpaceDN w:val="0"/>
            <w:adjustRightInd w:val="0"/>
            <w:spacing w:after="40"/>
            <w:jc w:val="right"/>
            <w:textAlignment w:val="baseline"/>
            <w:rPr>
              <w:rFonts w:ascii="Garamond" w:hAnsi="Garamond"/>
              <w:sz w:val="22"/>
              <w:szCs w:val="22"/>
            </w:rPr>
          </w:pPr>
          <w:r>
            <w:rPr>
              <w:rFonts w:ascii="Garamond" w:hAnsi="Garamond"/>
              <w:sz w:val="22"/>
              <w:szCs w:val="22"/>
            </w:rPr>
            <w:t>NT Chief Minister</w:t>
          </w:r>
        </w:p>
        <w:p w:rsidR="0002723A" w:rsidRDefault="0002723A" w:rsidP="0002723A">
          <w:pPr>
            <w:numPr>
              <w:ilvl w:val="0"/>
              <w:numId w:val="0"/>
            </w:numPr>
            <w:tabs>
              <w:tab w:val="center" w:pos="4153"/>
              <w:tab w:val="right" w:pos="8306"/>
            </w:tabs>
            <w:overflowPunct w:val="0"/>
            <w:autoSpaceDE w:val="0"/>
            <w:autoSpaceDN w:val="0"/>
            <w:adjustRightInd w:val="0"/>
            <w:spacing w:after="40"/>
            <w:jc w:val="right"/>
            <w:textAlignment w:val="baseline"/>
            <w:rPr>
              <w:rFonts w:ascii="Garamond" w:hAnsi="Garamond"/>
              <w:sz w:val="22"/>
              <w:szCs w:val="22"/>
            </w:rPr>
          </w:pPr>
        </w:p>
        <w:p w:rsidR="0002723A" w:rsidRDefault="0002723A" w:rsidP="0002723A">
          <w:pPr>
            <w:numPr>
              <w:ilvl w:val="0"/>
              <w:numId w:val="0"/>
            </w:numPr>
            <w:tabs>
              <w:tab w:val="center" w:pos="4153"/>
              <w:tab w:val="right" w:pos="8306"/>
            </w:tabs>
            <w:overflowPunct w:val="0"/>
            <w:autoSpaceDE w:val="0"/>
            <w:autoSpaceDN w:val="0"/>
            <w:adjustRightInd w:val="0"/>
            <w:spacing w:after="40"/>
            <w:jc w:val="right"/>
            <w:textAlignment w:val="baseline"/>
            <w:rPr>
              <w:rFonts w:ascii="Garamond" w:hAnsi="Garamond"/>
              <w:sz w:val="22"/>
              <w:szCs w:val="22"/>
            </w:rPr>
          </w:pPr>
        </w:p>
        <w:p w:rsidR="0002723A" w:rsidRPr="0096793C" w:rsidRDefault="0002723A" w:rsidP="0002723A">
          <w:pPr>
            <w:numPr>
              <w:ilvl w:val="0"/>
              <w:numId w:val="0"/>
            </w:numPr>
            <w:tabs>
              <w:tab w:val="center" w:pos="4153"/>
              <w:tab w:val="right" w:pos="8306"/>
            </w:tabs>
            <w:overflowPunct w:val="0"/>
            <w:autoSpaceDE w:val="0"/>
            <w:autoSpaceDN w:val="0"/>
            <w:adjustRightInd w:val="0"/>
            <w:spacing w:after="40"/>
            <w:jc w:val="right"/>
            <w:textAlignment w:val="baseline"/>
            <w:rPr>
              <w:rFonts w:ascii="Garamond" w:hAnsi="Garamond"/>
              <w:sz w:val="22"/>
              <w:szCs w:val="22"/>
            </w:rPr>
          </w:pPr>
          <w:r>
            <w:rPr>
              <w:rFonts w:ascii="Garamond" w:hAnsi="Garamond"/>
              <w:sz w:val="22"/>
              <w:szCs w:val="22"/>
            </w:rPr>
            <w:t xml:space="preserve"> </w:t>
          </w:r>
        </w:p>
      </w:tc>
    </w:tr>
  </w:tbl>
  <w:p w:rsidR="0002723A" w:rsidRPr="001C040E" w:rsidRDefault="0002723A" w:rsidP="0002723A">
    <w:pPr>
      <w:tabs>
        <w:tab w:val="center" w:pos="4153"/>
        <w:tab w:val="right" w:pos="8306"/>
      </w:tabs>
      <w:overflowPunct w:val="0"/>
      <w:autoSpaceDE w:val="0"/>
      <w:autoSpaceDN w:val="0"/>
      <w:adjustRightInd w:val="0"/>
      <w:spacing w:after="40"/>
      <w:textAlignment w:val="baseline"/>
    </w:pPr>
    <w:r w:rsidRPr="00A24344">
      <w:rPr>
        <w:rFonts w:ascii="Calibri" w:eastAsia="Calibri" w:hAnsi="Calibri"/>
        <w:noProof/>
        <w:lang w:eastAsia="en-AU"/>
      </w:rPr>
      <mc:AlternateContent>
        <mc:Choice Requires="wps">
          <w:drawing>
            <wp:anchor distT="4294967295" distB="4294967295" distL="114300" distR="114300" simplePos="0" relativeHeight="251659264" behindDoc="0" locked="0" layoutInCell="1" allowOverlap="1" wp14:anchorId="6709C8B8" wp14:editId="7D662F81">
              <wp:simplePos x="0" y="0"/>
              <wp:positionH relativeFrom="column">
                <wp:posOffset>182880</wp:posOffset>
              </wp:positionH>
              <wp:positionV relativeFrom="paragraph">
                <wp:posOffset>80010</wp:posOffset>
              </wp:positionV>
              <wp:extent cx="53721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DBB21"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pt,6.3pt" to="437.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1Eg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" strokeweight=".5pt"/>
          </w:pict>
        </mc:Fallback>
      </mc:AlternateContent>
    </w:r>
  </w:p>
  <w:p w:rsidR="0002723A" w:rsidRPr="00031885" w:rsidRDefault="0002723A" w:rsidP="0002723A">
    <w:pPr>
      <w:tabs>
        <w:tab w:val="center" w:pos="4153"/>
        <w:tab w:val="right" w:pos="8306"/>
      </w:tabs>
      <w:overflowPunct w:val="0"/>
      <w:autoSpaceDE w:val="0"/>
      <w:autoSpaceDN w:val="0"/>
      <w:adjustRightInd w:val="0"/>
      <w:spacing w:after="40"/>
      <w:jc w:val="center"/>
      <w:textAlignment w:val="baseline"/>
      <w:rPr>
        <w:sz w:val="28"/>
        <w:szCs w:val="28"/>
      </w:rPr>
    </w:pPr>
    <w:r w:rsidRPr="001C040E">
      <w:rPr>
        <w:rFonts w:ascii="Garamond" w:hAnsi="Garamond"/>
        <w:b/>
        <w:sz w:val="28"/>
        <w:szCs w:val="28"/>
      </w:rPr>
      <w:t>MEDIA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D3E49"/>
    <w:multiLevelType w:val="multilevel"/>
    <w:tmpl w:val="909898C8"/>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 w15:restartNumberingAfterBreak="0">
    <w:nsid w:val="36866FB3"/>
    <w:multiLevelType w:val="multilevel"/>
    <w:tmpl w:val="DD64D5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848"/>
    <w:rsid w:val="0002723A"/>
    <w:rsid w:val="00070598"/>
    <w:rsid w:val="001D4D6B"/>
    <w:rsid w:val="001D65F5"/>
    <w:rsid w:val="00302E26"/>
    <w:rsid w:val="00383848"/>
    <w:rsid w:val="003C4B0E"/>
    <w:rsid w:val="003D36B5"/>
    <w:rsid w:val="003D7B7A"/>
    <w:rsid w:val="004F0DB4"/>
    <w:rsid w:val="004F383D"/>
    <w:rsid w:val="00506BB1"/>
    <w:rsid w:val="00594B5D"/>
    <w:rsid w:val="005F640E"/>
    <w:rsid w:val="006363DC"/>
    <w:rsid w:val="007C7C5C"/>
    <w:rsid w:val="00985351"/>
    <w:rsid w:val="00A01F0E"/>
    <w:rsid w:val="00AB2EED"/>
    <w:rsid w:val="00B3355B"/>
    <w:rsid w:val="00B81CB7"/>
    <w:rsid w:val="00C35706"/>
    <w:rsid w:val="00D3568B"/>
    <w:rsid w:val="00DF20D9"/>
    <w:rsid w:val="00E1627B"/>
    <w:rsid w:val="00E24242"/>
    <w:rsid w:val="00E8303B"/>
    <w:rsid w:val="00F318EC"/>
    <w:rsid w:val="00F34C33"/>
    <w:rsid w:val="00FF6C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533D1-1E2F-4C84-9435-D385DC50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8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3848"/>
    <w:pPr>
      <w:numPr>
        <w:numId w:val="2"/>
      </w:num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LPositionChar">
    <w:name w:val="Header-LPosition Char"/>
    <w:basedOn w:val="DefaultParagraphFont"/>
    <w:link w:val="Header-LPosition"/>
    <w:locked/>
    <w:rsid w:val="00383848"/>
    <w:rPr>
      <w:rFonts w:ascii="Arial" w:hAnsi="Arial" w:cs="Arial"/>
      <w:sz w:val="24"/>
      <w:szCs w:val="24"/>
    </w:rPr>
  </w:style>
  <w:style w:type="paragraph" w:customStyle="1" w:styleId="Header-LPosition">
    <w:name w:val="Header-LPosition"/>
    <w:basedOn w:val="Header"/>
    <w:link w:val="Header-LPositionChar"/>
    <w:qFormat/>
    <w:rsid w:val="00383848"/>
    <w:pPr>
      <w:keepLines/>
      <w:tabs>
        <w:tab w:val="clear" w:pos="4513"/>
        <w:tab w:val="clear" w:pos="9026"/>
        <w:tab w:val="center" w:pos="4536"/>
        <w:tab w:val="right" w:pos="9072"/>
      </w:tabs>
      <w:ind w:right="-4"/>
    </w:pPr>
    <w:rPr>
      <w:rFonts w:ascii="Arial" w:hAnsi="Arial" w:cs="Arial"/>
      <w:sz w:val="24"/>
      <w:szCs w:val="24"/>
    </w:rPr>
  </w:style>
  <w:style w:type="paragraph" w:customStyle="1" w:styleId="BoswellMediaHeader">
    <w:name w:val="BoswellMediaHeader"/>
    <w:rsid w:val="00383848"/>
    <w:pPr>
      <w:spacing w:after="0" w:line="240" w:lineRule="auto"/>
      <w:jc w:val="right"/>
    </w:pPr>
    <w:rPr>
      <w:rFonts w:ascii="Arial" w:eastAsia="Times New Roman" w:hAnsi="Arial" w:cs="Times New Roman"/>
      <w:noProof/>
      <w:sz w:val="23"/>
      <w:szCs w:val="20"/>
      <w:lang w:eastAsia="en-AU"/>
    </w:rPr>
  </w:style>
  <w:style w:type="paragraph" w:styleId="BodyText">
    <w:name w:val="Body Text"/>
    <w:basedOn w:val="Normal"/>
    <w:link w:val="BodyTextChar"/>
    <w:uiPriority w:val="1"/>
    <w:unhideWhenUsed/>
    <w:qFormat/>
    <w:rsid w:val="00383848"/>
    <w:pPr>
      <w:spacing w:before="120" w:after="120" w:line="264" w:lineRule="auto"/>
    </w:pPr>
    <w:rPr>
      <w:rFonts w:eastAsia="Times New Roman" w:cs="Times New Roman"/>
      <w:sz w:val="20"/>
      <w:szCs w:val="24"/>
      <w:lang w:eastAsia="en-AU"/>
    </w:rPr>
  </w:style>
  <w:style w:type="character" w:customStyle="1" w:styleId="BodyTextChar">
    <w:name w:val="Body Text Char"/>
    <w:basedOn w:val="DefaultParagraphFont"/>
    <w:link w:val="BodyText"/>
    <w:uiPriority w:val="1"/>
    <w:rsid w:val="00383848"/>
    <w:rPr>
      <w:rFonts w:eastAsia="Times New Roman" w:cs="Times New Roman"/>
      <w:sz w:val="20"/>
      <w:szCs w:val="24"/>
      <w:lang w:eastAsia="en-AU"/>
    </w:rPr>
  </w:style>
  <w:style w:type="paragraph" w:styleId="Header">
    <w:name w:val="header"/>
    <w:basedOn w:val="Normal"/>
    <w:link w:val="HeaderChar"/>
    <w:uiPriority w:val="99"/>
    <w:unhideWhenUsed/>
    <w:rsid w:val="003838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848"/>
  </w:style>
  <w:style w:type="paragraph" w:styleId="Footer">
    <w:name w:val="footer"/>
    <w:basedOn w:val="Normal"/>
    <w:link w:val="FooterChar"/>
    <w:uiPriority w:val="99"/>
    <w:unhideWhenUsed/>
    <w:rsid w:val="003838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848"/>
  </w:style>
  <w:style w:type="paragraph" w:styleId="BalloonText">
    <w:name w:val="Balloon Text"/>
    <w:basedOn w:val="Normal"/>
    <w:link w:val="BalloonTextChar"/>
    <w:uiPriority w:val="99"/>
    <w:semiHidden/>
    <w:unhideWhenUsed/>
    <w:rsid w:val="00506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B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077978">
      <w:bodyDiv w:val="1"/>
      <w:marLeft w:val="0"/>
      <w:marRight w:val="0"/>
      <w:marTop w:val="0"/>
      <w:marBottom w:val="0"/>
      <w:divBdr>
        <w:top w:val="none" w:sz="0" w:space="0" w:color="auto"/>
        <w:left w:val="none" w:sz="0" w:space="0" w:color="auto"/>
        <w:bottom w:val="none" w:sz="0" w:space="0" w:color="auto"/>
        <w:right w:val="none" w:sz="0" w:space="0" w:color="auto"/>
      </w:divBdr>
    </w:div>
    <w:div w:id="206401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images.vector-images.com/img/189/northernterritory_coa_n4556.gif"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Stephens</dc:creator>
  <cp:keywords/>
  <dc:description/>
  <cp:lastModifiedBy>Kim Stephens</cp:lastModifiedBy>
  <cp:revision>3</cp:revision>
  <cp:lastPrinted>2019-01-02T00:43:00Z</cp:lastPrinted>
  <dcterms:created xsi:type="dcterms:W3CDTF">2019-01-01T05:23:00Z</dcterms:created>
  <dcterms:modified xsi:type="dcterms:W3CDTF">2019-01-02T02:09:00Z</dcterms:modified>
</cp:coreProperties>
</file>