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D2" w:rsidRDefault="003208D2" w:rsidP="003208D2">
      <w:pPr>
        <w:spacing w:line="264" w:lineRule="auto"/>
        <w:rPr>
          <w:b/>
          <w:szCs w:val="22"/>
        </w:rPr>
      </w:pPr>
      <w:bookmarkStart w:id="0" w:name="_GoBack"/>
      <w:bookmarkEnd w:id="0"/>
      <w:r w:rsidRPr="00766F2D">
        <w:rPr>
          <w:szCs w:val="22"/>
        </w:rPr>
        <w:t xml:space="preserve">This </w:t>
      </w:r>
      <w:r>
        <w:rPr>
          <w:szCs w:val="22"/>
        </w:rPr>
        <w:t>guideline</w:t>
      </w:r>
      <w:r w:rsidRPr="00766F2D">
        <w:rPr>
          <w:szCs w:val="22"/>
        </w:rPr>
        <w:t xml:space="preserve"> summarises the </w:t>
      </w:r>
      <w:r>
        <w:rPr>
          <w:szCs w:val="22"/>
        </w:rPr>
        <w:t>requirements</w:t>
      </w:r>
      <w:r w:rsidRPr="00766F2D">
        <w:rPr>
          <w:szCs w:val="22"/>
        </w:rPr>
        <w:t xml:space="preserve"> under the </w:t>
      </w:r>
      <w:r w:rsidRPr="00766F2D">
        <w:rPr>
          <w:i/>
          <w:szCs w:val="22"/>
        </w:rPr>
        <w:t>Mineral Titles Act</w:t>
      </w:r>
      <w:r>
        <w:rPr>
          <w:i/>
          <w:szCs w:val="22"/>
        </w:rPr>
        <w:t xml:space="preserve"> 2010</w:t>
      </w:r>
      <w:r w:rsidRPr="00766F2D">
        <w:rPr>
          <w:szCs w:val="22"/>
        </w:rPr>
        <w:t xml:space="preserve"> (the Act) and </w:t>
      </w:r>
      <w:r w:rsidRPr="00766F2D">
        <w:rPr>
          <w:i/>
          <w:szCs w:val="22"/>
        </w:rPr>
        <w:t>Mineral Titles Regulations</w:t>
      </w:r>
      <w:r>
        <w:rPr>
          <w:i/>
          <w:szCs w:val="22"/>
        </w:rPr>
        <w:t xml:space="preserve"> 2011</w:t>
      </w:r>
      <w:r w:rsidRPr="00766F2D">
        <w:rPr>
          <w:szCs w:val="22"/>
        </w:rPr>
        <w:t xml:space="preserve"> (the Regulations)</w:t>
      </w:r>
      <w:r>
        <w:rPr>
          <w:szCs w:val="22"/>
        </w:rPr>
        <w:t>, in relation to provision of evidence of technical and financial resources when making a mineral title application for the grant, issue or renewal of a mineral title.</w:t>
      </w:r>
    </w:p>
    <w:p w:rsidR="003208D2" w:rsidRDefault="003208D2" w:rsidP="003208D2">
      <w:pPr>
        <w:spacing w:line="264" w:lineRule="auto"/>
        <w:rPr>
          <w:szCs w:val="22"/>
        </w:rPr>
      </w:pPr>
      <w:r w:rsidRPr="00005D82">
        <w:rPr>
          <w:szCs w:val="22"/>
        </w:rPr>
        <w:t>The Minister may</w:t>
      </w:r>
      <w:r>
        <w:rPr>
          <w:szCs w:val="22"/>
        </w:rPr>
        <w:t xml:space="preserve"> decide to grant; issue or renew a mineral title if satisfied that the applicant will have the technical and financial resources available to:</w:t>
      </w:r>
    </w:p>
    <w:p w:rsidR="003208D2" w:rsidRDefault="003208D2" w:rsidP="003208D2">
      <w:pPr>
        <w:numPr>
          <w:ilvl w:val="0"/>
          <w:numId w:val="48"/>
        </w:numPr>
        <w:spacing w:after="0"/>
        <w:ind w:left="425" w:hanging="425"/>
        <w:rPr>
          <w:szCs w:val="22"/>
        </w:rPr>
      </w:pPr>
      <w:r>
        <w:rPr>
          <w:szCs w:val="22"/>
        </w:rPr>
        <w:t>carry out the technical work program proposed; or</w:t>
      </w:r>
    </w:p>
    <w:p w:rsidR="003208D2" w:rsidRDefault="003208D2" w:rsidP="003208D2">
      <w:pPr>
        <w:numPr>
          <w:ilvl w:val="0"/>
          <w:numId w:val="48"/>
        </w:numPr>
        <w:spacing w:before="60" w:after="0"/>
        <w:ind w:left="425" w:hanging="425"/>
        <w:rPr>
          <w:szCs w:val="22"/>
        </w:rPr>
      </w:pPr>
      <w:r>
        <w:rPr>
          <w:szCs w:val="22"/>
        </w:rPr>
        <w:t>develop and mine the mineral deposits; or</w:t>
      </w:r>
    </w:p>
    <w:p w:rsidR="003208D2" w:rsidRDefault="003208D2" w:rsidP="003208D2">
      <w:pPr>
        <w:numPr>
          <w:ilvl w:val="0"/>
          <w:numId w:val="48"/>
        </w:numPr>
        <w:spacing w:before="60"/>
        <w:ind w:left="425" w:hanging="425"/>
        <w:rPr>
          <w:szCs w:val="22"/>
        </w:rPr>
      </w:pPr>
      <w:r>
        <w:rPr>
          <w:szCs w:val="22"/>
        </w:rPr>
        <w:t>continue to carry out (a) or (b).</w:t>
      </w:r>
    </w:p>
    <w:p w:rsidR="003208D2" w:rsidRDefault="003208D2" w:rsidP="003208D2">
      <w:pPr>
        <w:spacing w:line="264" w:lineRule="auto"/>
        <w:rPr>
          <w:szCs w:val="22"/>
        </w:rPr>
      </w:pPr>
      <w:r>
        <w:rPr>
          <w:szCs w:val="22"/>
        </w:rPr>
        <w:t xml:space="preserve">When making a mineral title application </w:t>
      </w:r>
      <w:r w:rsidRPr="00097752">
        <w:rPr>
          <w:szCs w:val="22"/>
        </w:rPr>
        <w:t>for the grant, issue or renewal of a mineral title</w:t>
      </w:r>
      <w:r>
        <w:rPr>
          <w:szCs w:val="22"/>
        </w:rPr>
        <w:t>,</w:t>
      </w:r>
      <w:r w:rsidRPr="00097752">
        <w:rPr>
          <w:szCs w:val="22"/>
        </w:rPr>
        <w:t xml:space="preserve"> </w:t>
      </w:r>
      <w:r>
        <w:rPr>
          <w:szCs w:val="22"/>
        </w:rPr>
        <w:t xml:space="preserve">the applicant must be able </w:t>
      </w:r>
      <w:r w:rsidRPr="004220A7">
        <w:rPr>
          <w:rFonts w:cs="Arial"/>
          <w:szCs w:val="22"/>
        </w:rPr>
        <w:t xml:space="preserve">to </w:t>
      </w:r>
      <w:r w:rsidRPr="009C1A25">
        <w:rPr>
          <w:szCs w:val="22"/>
        </w:rPr>
        <w:t>substantiate</w:t>
      </w:r>
      <w:r w:rsidRPr="004220A7">
        <w:rPr>
          <w:rFonts w:cs="Arial"/>
          <w:szCs w:val="22"/>
        </w:rPr>
        <w:t xml:space="preserve"> they either have the technical qualifications or have access to technical advice to ensure the proposed work program can be undertaken</w:t>
      </w:r>
      <w:r>
        <w:rPr>
          <w:rFonts w:cs="Arial"/>
          <w:szCs w:val="22"/>
        </w:rPr>
        <w:t xml:space="preserve">. The applicant is also required to </w:t>
      </w:r>
      <w:r>
        <w:rPr>
          <w:szCs w:val="22"/>
        </w:rPr>
        <w:t xml:space="preserve">provide suitable supporting evidence of both their technical and financial resources. </w:t>
      </w:r>
    </w:p>
    <w:p w:rsidR="003208D2" w:rsidRDefault="003208D2" w:rsidP="003208D2">
      <w:pPr>
        <w:spacing w:line="264" w:lineRule="auto"/>
        <w:rPr>
          <w:szCs w:val="22"/>
        </w:rPr>
      </w:pPr>
      <w:r>
        <w:rPr>
          <w:szCs w:val="22"/>
        </w:rPr>
        <w:t>In relation to suitable evidence for technical resources, these may include:</w:t>
      </w:r>
    </w:p>
    <w:p w:rsidR="003208D2" w:rsidRDefault="003208D2" w:rsidP="003208D2">
      <w:pPr>
        <w:numPr>
          <w:ilvl w:val="0"/>
          <w:numId w:val="49"/>
        </w:numPr>
        <w:spacing w:after="60"/>
        <w:ind w:left="709" w:hanging="425"/>
        <w:rPr>
          <w:rFonts w:cs="Arial"/>
          <w:szCs w:val="22"/>
        </w:rPr>
      </w:pPr>
      <w:r w:rsidRPr="004220A7">
        <w:rPr>
          <w:rFonts w:cs="Arial"/>
          <w:szCs w:val="22"/>
        </w:rPr>
        <w:t xml:space="preserve">a list of names of all persons </w:t>
      </w:r>
      <w:r>
        <w:rPr>
          <w:rFonts w:cs="Arial"/>
          <w:szCs w:val="22"/>
        </w:rPr>
        <w:t>(including consultants) providing technical advice</w:t>
      </w:r>
    </w:p>
    <w:p w:rsidR="003208D2" w:rsidRDefault="003208D2" w:rsidP="003208D2">
      <w:pPr>
        <w:numPr>
          <w:ilvl w:val="0"/>
          <w:numId w:val="49"/>
        </w:numPr>
        <w:spacing w:after="0"/>
        <w:ind w:left="709" w:hanging="425"/>
        <w:rPr>
          <w:szCs w:val="22"/>
        </w:rPr>
      </w:pPr>
      <w:r w:rsidRPr="004220A7">
        <w:rPr>
          <w:rFonts w:cs="Arial"/>
          <w:szCs w:val="22"/>
        </w:rPr>
        <w:t>qualifications and details of the field of expertise of these persons</w:t>
      </w:r>
      <w:r>
        <w:rPr>
          <w:rFonts w:cs="Arial"/>
          <w:szCs w:val="22"/>
        </w:rPr>
        <w:t>.</w:t>
      </w:r>
    </w:p>
    <w:p w:rsidR="003208D2" w:rsidRDefault="003208D2" w:rsidP="003208D2">
      <w:pPr>
        <w:tabs>
          <w:tab w:val="left" w:pos="1146"/>
        </w:tabs>
        <w:spacing w:after="0"/>
        <w:rPr>
          <w:szCs w:val="22"/>
        </w:rPr>
      </w:pPr>
    </w:p>
    <w:p w:rsidR="003208D2" w:rsidRPr="00536725" w:rsidRDefault="003208D2" w:rsidP="003208D2">
      <w:pPr>
        <w:spacing w:line="264" w:lineRule="auto"/>
        <w:rPr>
          <w:szCs w:val="22"/>
        </w:rPr>
      </w:pPr>
      <w:r w:rsidRPr="00536725">
        <w:rPr>
          <w:szCs w:val="22"/>
        </w:rPr>
        <w:t>In relation to suitable evidence of financial resources, these may include:</w:t>
      </w:r>
    </w:p>
    <w:p w:rsidR="003208D2" w:rsidRDefault="003208D2" w:rsidP="003208D2">
      <w:pPr>
        <w:numPr>
          <w:ilvl w:val="0"/>
          <w:numId w:val="49"/>
        </w:numPr>
        <w:spacing w:after="60"/>
        <w:ind w:left="709" w:hanging="425"/>
        <w:rPr>
          <w:rFonts w:cs="Arial"/>
          <w:szCs w:val="22"/>
        </w:rPr>
      </w:pPr>
      <w:r w:rsidRPr="004220A7">
        <w:rPr>
          <w:rFonts w:cs="Arial"/>
          <w:szCs w:val="22"/>
        </w:rPr>
        <w:t>most recent audited financial report to the Australian Stock Exchange</w:t>
      </w:r>
      <w:r>
        <w:rPr>
          <w:rFonts w:cs="Arial"/>
          <w:szCs w:val="22"/>
        </w:rPr>
        <w:t xml:space="preserve"> or if not a publicly listed company, most recent audited annual accounts</w:t>
      </w:r>
    </w:p>
    <w:p w:rsidR="003208D2" w:rsidRPr="004220A7" w:rsidRDefault="003208D2" w:rsidP="003208D2">
      <w:pPr>
        <w:numPr>
          <w:ilvl w:val="0"/>
          <w:numId w:val="49"/>
        </w:numPr>
        <w:spacing w:after="60"/>
        <w:ind w:left="709" w:hanging="425"/>
        <w:rPr>
          <w:rFonts w:cs="Arial"/>
          <w:szCs w:val="22"/>
        </w:rPr>
      </w:pPr>
      <w:r w:rsidRPr="004220A7">
        <w:rPr>
          <w:rFonts w:cs="Arial"/>
          <w:szCs w:val="22"/>
        </w:rPr>
        <w:t>cash resources (</w:t>
      </w:r>
      <w:r>
        <w:rPr>
          <w:rFonts w:cs="Arial"/>
          <w:szCs w:val="22"/>
        </w:rPr>
        <w:t>attach copy of bank statement)</w:t>
      </w:r>
    </w:p>
    <w:p w:rsidR="003208D2" w:rsidRPr="004220A7" w:rsidRDefault="003208D2" w:rsidP="003208D2">
      <w:pPr>
        <w:numPr>
          <w:ilvl w:val="0"/>
          <w:numId w:val="49"/>
        </w:numPr>
        <w:spacing w:after="60"/>
        <w:ind w:left="709" w:hanging="425"/>
        <w:rPr>
          <w:rFonts w:cs="Arial"/>
          <w:szCs w:val="22"/>
        </w:rPr>
      </w:pPr>
      <w:r w:rsidRPr="004220A7">
        <w:rPr>
          <w:rFonts w:cs="Arial"/>
          <w:szCs w:val="22"/>
        </w:rPr>
        <w:t>value of Government/semi-Governm</w:t>
      </w:r>
      <w:r>
        <w:rPr>
          <w:rFonts w:cs="Arial"/>
          <w:szCs w:val="22"/>
        </w:rPr>
        <w:t>ent bonds (attach copy of bond)</w:t>
      </w:r>
    </w:p>
    <w:p w:rsidR="003208D2" w:rsidRPr="004220A7" w:rsidRDefault="003208D2" w:rsidP="003208D2">
      <w:pPr>
        <w:numPr>
          <w:ilvl w:val="0"/>
          <w:numId w:val="49"/>
        </w:numPr>
        <w:spacing w:after="60"/>
        <w:ind w:left="709" w:hanging="425"/>
        <w:rPr>
          <w:rFonts w:cs="Arial"/>
          <w:szCs w:val="22"/>
        </w:rPr>
      </w:pPr>
      <w:r w:rsidRPr="004220A7">
        <w:rPr>
          <w:rFonts w:cs="Arial"/>
          <w:szCs w:val="22"/>
        </w:rPr>
        <w:t>value of listed shares</w:t>
      </w:r>
    </w:p>
    <w:p w:rsidR="003208D2" w:rsidRPr="004220A7" w:rsidRDefault="003208D2" w:rsidP="003208D2">
      <w:pPr>
        <w:numPr>
          <w:ilvl w:val="0"/>
          <w:numId w:val="49"/>
        </w:numPr>
        <w:spacing w:after="60"/>
        <w:ind w:left="709" w:hanging="425"/>
        <w:rPr>
          <w:rFonts w:cs="Arial"/>
          <w:szCs w:val="22"/>
        </w:rPr>
      </w:pPr>
      <w:r w:rsidRPr="004220A7">
        <w:rPr>
          <w:rFonts w:cs="Arial"/>
          <w:szCs w:val="22"/>
        </w:rPr>
        <w:t xml:space="preserve">line of credit from recognised financial </w:t>
      </w:r>
      <w:r>
        <w:rPr>
          <w:rFonts w:cs="Arial"/>
          <w:szCs w:val="22"/>
        </w:rPr>
        <w:t xml:space="preserve"> institution (attach statement)</w:t>
      </w:r>
    </w:p>
    <w:p w:rsidR="003208D2" w:rsidRPr="004220A7" w:rsidRDefault="003208D2" w:rsidP="003208D2">
      <w:pPr>
        <w:numPr>
          <w:ilvl w:val="0"/>
          <w:numId w:val="49"/>
        </w:numPr>
        <w:spacing w:after="60"/>
        <w:ind w:left="709" w:hanging="425"/>
        <w:rPr>
          <w:rFonts w:cs="Arial"/>
          <w:szCs w:val="22"/>
        </w:rPr>
      </w:pPr>
      <w:r w:rsidRPr="004220A7">
        <w:rPr>
          <w:rFonts w:cs="Arial"/>
          <w:szCs w:val="22"/>
        </w:rPr>
        <w:t>future fund raising (attach prospectus)</w:t>
      </w:r>
    </w:p>
    <w:p w:rsidR="003208D2" w:rsidRPr="004220A7" w:rsidRDefault="003208D2" w:rsidP="003208D2">
      <w:pPr>
        <w:numPr>
          <w:ilvl w:val="0"/>
          <w:numId w:val="49"/>
        </w:numPr>
        <w:spacing w:after="60"/>
        <w:ind w:left="709" w:hanging="425"/>
        <w:rPr>
          <w:rFonts w:cs="Arial"/>
          <w:szCs w:val="22"/>
        </w:rPr>
      </w:pPr>
      <w:r w:rsidRPr="004220A7">
        <w:rPr>
          <w:rFonts w:cs="Arial"/>
          <w:szCs w:val="22"/>
        </w:rPr>
        <w:t>verification of available funds by a private accountant.</w:t>
      </w:r>
      <w:r>
        <w:rPr>
          <w:rFonts w:cs="Arial"/>
          <w:szCs w:val="22"/>
        </w:rPr>
        <w:t xml:space="preserve">  Such verification should include a statement that the accountant is aware of the proposed amount of expenditure, and be no more than three months old at the time of giving the information.</w:t>
      </w:r>
    </w:p>
    <w:p w:rsidR="003208D2" w:rsidRDefault="003208D2" w:rsidP="003208D2">
      <w:pPr>
        <w:spacing w:after="0"/>
        <w:rPr>
          <w:szCs w:val="22"/>
        </w:rPr>
      </w:pPr>
    </w:p>
    <w:p w:rsidR="003208D2" w:rsidRDefault="003208D2" w:rsidP="003208D2">
      <w:pPr>
        <w:spacing w:line="264" w:lineRule="auto"/>
        <w:rPr>
          <w:szCs w:val="22"/>
        </w:rPr>
      </w:pPr>
      <w:r>
        <w:rPr>
          <w:szCs w:val="22"/>
        </w:rPr>
        <w:t>In relation to an exploration licence, section 105(2)(d) of the Act also provides for the Minister to cancel all or part of the title area if satisfied that the title holder no longer has the financial resources to carry out the technical work program for all or the relevant part of the title area.</w:t>
      </w:r>
    </w:p>
    <w:p w:rsidR="003208D2" w:rsidRDefault="003208D2" w:rsidP="003208D2">
      <w:pPr>
        <w:spacing w:line="264" w:lineRule="auto"/>
        <w:rPr>
          <w:szCs w:val="22"/>
        </w:rPr>
      </w:pPr>
      <w:r>
        <w:rPr>
          <w:szCs w:val="22"/>
        </w:rPr>
        <w:t>This may occur if the Minister becomes aware of (but not limited to):</w:t>
      </w:r>
    </w:p>
    <w:p w:rsidR="003208D2" w:rsidRPr="009C1A25" w:rsidRDefault="003208D2" w:rsidP="003208D2">
      <w:pPr>
        <w:numPr>
          <w:ilvl w:val="0"/>
          <w:numId w:val="49"/>
        </w:numPr>
        <w:spacing w:after="60"/>
        <w:ind w:left="709" w:hanging="425"/>
        <w:rPr>
          <w:rFonts w:cs="Arial"/>
          <w:szCs w:val="22"/>
        </w:rPr>
      </w:pPr>
      <w:r>
        <w:rPr>
          <w:szCs w:val="22"/>
        </w:rPr>
        <w:t xml:space="preserve">an </w:t>
      </w:r>
      <w:r w:rsidRPr="009C1A25">
        <w:rPr>
          <w:rFonts w:cs="Arial"/>
          <w:szCs w:val="22"/>
        </w:rPr>
        <w:t>application lodged for appoin</w:t>
      </w:r>
      <w:r>
        <w:rPr>
          <w:rFonts w:cs="Arial"/>
          <w:szCs w:val="22"/>
        </w:rPr>
        <w:t>tment of receiver/administrator</w:t>
      </w:r>
    </w:p>
    <w:p w:rsidR="003208D2" w:rsidRPr="009C1A25" w:rsidRDefault="003208D2" w:rsidP="003208D2">
      <w:pPr>
        <w:numPr>
          <w:ilvl w:val="0"/>
          <w:numId w:val="49"/>
        </w:numPr>
        <w:spacing w:after="60"/>
        <w:ind w:left="709" w:hanging="425"/>
        <w:rPr>
          <w:rFonts w:cs="Arial"/>
          <w:szCs w:val="22"/>
        </w:rPr>
      </w:pPr>
      <w:r w:rsidRPr="009C1A25">
        <w:rPr>
          <w:rFonts w:cs="Arial"/>
          <w:szCs w:val="22"/>
        </w:rPr>
        <w:t xml:space="preserve">an application lodged for winding up or liquidation of the </w:t>
      </w:r>
      <w:r>
        <w:rPr>
          <w:rFonts w:cs="Arial"/>
          <w:szCs w:val="22"/>
        </w:rPr>
        <w:t>company</w:t>
      </w:r>
    </w:p>
    <w:p w:rsidR="00B14257" w:rsidRPr="003208D2" w:rsidRDefault="003208D2" w:rsidP="003208D2">
      <w:pPr>
        <w:numPr>
          <w:ilvl w:val="0"/>
          <w:numId w:val="49"/>
        </w:numPr>
        <w:spacing w:after="60"/>
        <w:ind w:left="709" w:hanging="425"/>
        <w:rPr>
          <w:szCs w:val="22"/>
        </w:rPr>
      </w:pPr>
      <w:r w:rsidRPr="009C1A25">
        <w:rPr>
          <w:rFonts w:cs="Arial"/>
          <w:szCs w:val="22"/>
        </w:rPr>
        <w:t>in the case</w:t>
      </w:r>
      <w:r>
        <w:rPr>
          <w:szCs w:val="22"/>
        </w:rPr>
        <w:t xml:space="preserve"> of an individual, an application lodged for bankruptcy.</w:t>
      </w:r>
    </w:p>
    <w:sectPr w:rsidR="00B14257" w:rsidRPr="003208D2"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D2" w:rsidRDefault="003208D2" w:rsidP="007332FF">
      <w:r>
        <w:separator/>
      </w:r>
    </w:p>
  </w:endnote>
  <w:endnote w:type="continuationSeparator" w:id="0">
    <w:p w:rsidR="003208D2" w:rsidRDefault="003208D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2472F">
                <w:rPr>
                  <w:rStyle w:val="PageNumber"/>
                  <w:b/>
                </w:rPr>
                <w:t>Industry, Tourism and Trade</w:t>
              </w:r>
            </w:sdtContent>
          </w:sdt>
          <w:r w:rsidRPr="00CE6614">
            <w:rPr>
              <w:rStyle w:val="PageNumber"/>
            </w:rPr>
            <w:t xml:space="preserve"> - optional</w:t>
          </w:r>
        </w:p>
        <w:p w:rsidR="00D47DC7" w:rsidRPr="00CE6614" w:rsidRDefault="00E80DA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05T00:00:00Z">
                <w:dateFormat w:val="d MMMM yyyy"/>
                <w:lid w:val="en-AU"/>
                <w:storeMappedDataAs w:val="dateTime"/>
                <w:calendar w:val="gregorian"/>
              </w:date>
            </w:sdtPr>
            <w:sdtEndPr>
              <w:rPr>
                <w:rStyle w:val="PageNumber"/>
              </w:rPr>
            </w:sdtEndPr>
            <w:sdtContent>
              <w:r w:rsidR="00645671">
                <w:rPr>
                  <w:rStyle w:val="PageNumber"/>
                </w:rPr>
                <w:t>5 February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567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0DAE">
            <w:rPr>
              <w:rStyle w:val="PageNumber"/>
              <w:noProof/>
            </w:rPr>
            <w:t>1</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2472F" w:rsidRPr="0002472F">
                <w:rPr>
                  <w:rStyle w:val="PageNumber"/>
                  <w:b/>
                </w:rPr>
                <w:t>Industry, Tourism and Trade</w:t>
              </w:r>
            </w:sdtContent>
          </w:sdt>
        </w:p>
        <w:p w:rsidR="00D47DC7" w:rsidRPr="00CE6614" w:rsidRDefault="00E80DA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05T00:00:00Z">
                <w:dateFormat w:val="d MMMM yyyy"/>
                <w:lid w:val="en-AU"/>
                <w:storeMappedDataAs w:val="dateTime"/>
                <w:calendar w:val="gregorian"/>
              </w:date>
            </w:sdtPr>
            <w:sdtEndPr>
              <w:rPr>
                <w:rStyle w:val="PageNumber"/>
              </w:rPr>
            </w:sdtEndPr>
            <w:sdtContent>
              <w:r w:rsidR="00645671">
                <w:rPr>
                  <w:rStyle w:val="PageNumber"/>
                </w:rPr>
                <w:t>5 February 2021</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80DA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0DAE">
            <w:rPr>
              <w:rStyle w:val="PageNumber"/>
              <w:noProof/>
            </w:rPr>
            <w:t>1</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D2" w:rsidRDefault="003208D2" w:rsidP="007332FF">
      <w:r>
        <w:separator/>
      </w:r>
    </w:p>
  </w:footnote>
  <w:footnote w:type="continuationSeparator" w:id="0">
    <w:p w:rsidR="003208D2" w:rsidRDefault="003208D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80DA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208D2">
          <w:t>Guideline 5 – Technical and financial resources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3208D2" w:rsidP="00435082">
        <w:pPr>
          <w:pStyle w:val="Title"/>
        </w:pPr>
        <w:r>
          <w:rPr>
            <w:rStyle w:val="TitleChar"/>
          </w:rPr>
          <w:t>Guideline 5 – Technical and financial resources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E731423"/>
    <w:multiLevelType w:val="hybridMultilevel"/>
    <w:tmpl w:val="5B26556C"/>
    <w:lvl w:ilvl="0" w:tplc="0C090001">
      <w:start w:val="1"/>
      <w:numFmt w:val="bullet"/>
      <w:lvlText w:val=""/>
      <w:lvlJc w:val="left"/>
      <w:pPr>
        <w:tabs>
          <w:tab w:val="num" w:pos="294"/>
        </w:tabs>
        <w:ind w:left="294" w:hanging="360"/>
      </w:pPr>
      <w:rPr>
        <w:rFonts w:ascii="Symbol" w:hAnsi="Symbol" w:hint="default"/>
      </w:rPr>
    </w:lvl>
    <w:lvl w:ilvl="1" w:tplc="0C090003" w:tentative="1">
      <w:start w:val="1"/>
      <w:numFmt w:val="bullet"/>
      <w:lvlText w:val="o"/>
      <w:lvlJc w:val="left"/>
      <w:pPr>
        <w:tabs>
          <w:tab w:val="num" w:pos="1014"/>
        </w:tabs>
        <w:ind w:left="1014" w:hanging="360"/>
      </w:pPr>
      <w:rPr>
        <w:rFonts w:ascii="Courier New" w:hAnsi="Courier New" w:cs="Courier New"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Courier New" w:hAnsi="Courier New" w:cs="Courier New"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Courier New" w:hAnsi="Courier New" w:cs="Courier New"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F6A6534"/>
    <w:multiLevelType w:val="hybridMultilevel"/>
    <w:tmpl w:val="87FE84CC"/>
    <w:lvl w:ilvl="0" w:tplc="8D78A872">
      <w:start w:val="1"/>
      <w:numFmt w:val="lowerLetter"/>
      <w:lvlText w:val="(%1)"/>
      <w:lvlJc w:val="left"/>
      <w:pPr>
        <w:tabs>
          <w:tab w:val="num" w:pos="1402"/>
        </w:tabs>
        <w:ind w:left="1402"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70"/>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7"/>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4"/>
  </w:num>
  <w:num w:numId="49">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D2"/>
    <w:rsid w:val="00001DDF"/>
    <w:rsid w:val="0000322D"/>
    <w:rsid w:val="00007670"/>
    <w:rsid w:val="00010665"/>
    <w:rsid w:val="0002393A"/>
    <w:rsid w:val="0002472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08D2"/>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20675"/>
    <w:rsid w:val="00622910"/>
    <w:rsid w:val="006254B6"/>
    <w:rsid w:val="00627FC8"/>
    <w:rsid w:val="006433C3"/>
    <w:rsid w:val="00645671"/>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19C9"/>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7EA4"/>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DAE"/>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6697CD-2B69-4EE4-9E2A-5B86F2D2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D2"/>
    <w:rPr>
      <w:rFonts w:eastAsia="Times New Roman"/>
      <w:szCs w:val="20"/>
      <w:lang w:eastAsia="en-AU"/>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Mines\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7E526-C934-42A8-93B4-C2244463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Guideline 5 – Technical and financial resources</vt:lpstr>
    </vt:vector>
  </TitlesOfParts>
  <Company>Industry, Tourism and Trade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5 – Technical and financial resources</dc:title>
  <dc:creator>Northern Territory Government</dc:creator>
  <cp:lastModifiedBy>Carla McConachy</cp:lastModifiedBy>
  <cp:revision>6</cp:revision>
  <cp:lastPrinted>2021-02-15T04:43:00Z</cp:lastPrinted>
  <dcterms:created xsi:type="dcterms:W3CDTF">2020-11-24T04:31:00Z</dcterms:created>
  <dcterms:modified xsi:type="dcterms:W3CDTF">2021-02-15T04:43:00Z</dcterms:modified>
</cp:coreProperties>
</file>